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8863330</wp:posOffset>
                </wp:positionV>
                <wp:extent cx="1002665" cy="4203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skarbnik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2.15000000000001pt;margin-top:697.89999999999998pt;width:78.950000000000003pt;height:33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skarbnik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3989"/>
        <w:gridCol w:w="3115"/>
        <w:gridCol w:w="3706"/>
      </w:tblGrid>
      <w:tr>
        <w:trPr>
          <w:trHeight w:val="115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Nazwa i adres jednostki sprawozdawczej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9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9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ul.Powstańców Wlkp. 6</w:t>
              <w:br/>
              <w:t>64-113 OSIECZNA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BILANS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 wykonania budżetu jednostki</w:t>
              <w:br/>
              <w:t>samorządu terytorialnego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Gmina OSIECZNA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Regionalna Izba Obrachunkowa w</w:t>
              <w:br/>
              <w:t>Poznaniu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Wysłać bez pisma przewodniego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4D485AB7679FF916</w:t>
            </w: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411050741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006"/>
        <w:gridCol w:w="1699"/>
        <w:gridCol w:w="1699"/>
        <w:gridCol w:w="1987"/>
        <w:gridCol w:w="1699"/>
        <w:gridCol w:w="1718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AKTYWA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PASYWA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początek</w:t>
              <w:br/>
              <w:t>roku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Środki pienięże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27 239 739,59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31 256 005,99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 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1 597 243,50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1 279 416,90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 Środki pieniężne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27 239 739,59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31 256 005,99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 Zobowiązania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1 596 579,10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1 278 893,94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 Środki pieniężne</w:t>
              <w:br/>
              <w:t>budżetu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27 186 853,59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31 256 005,99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 Krótkoterminowe</w:t>
              <w:br/>
              <w:t>(do 12 miesięcy)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317 685,16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317 685,16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I.1.2 Pozostałe środki</w:t>
              <w:br/>
              <w:t>pieniężne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52 886,00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I.1.2 Długoterminowe</w:t>
              <w:br/>
              <w:t>(powyżej 12 miesięcy)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1 278 893,94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961 208,78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 Należności i</w:t>
              <w:br/>
              <w:t>rozliczenia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 Zobowiązania wobec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664,40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522,96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 Należności</w:t>
              <w:br/>
              <w:t>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I.3 Pozostałe</w:t>
              <w:br/>
              <w:t>zobowiązania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II.1.1 Krótkoterminowe</w:t>
              <w:br/>
              <w:t>(do 12 miesięcy)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 Aktywa netto budżetu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23 150 892,23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27 195 987,17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II.1.2 Długoterminowe</w:t>
              <w:br/>
              <w:t>(powyżej 12 miesięcy)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 Wynik wykonania</w:t>
              <w:br/>
              <w:t>budżetu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7 761 148,56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4 094 774,94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II.2 Należności od</w:t>
              <w:br/>
              <w:t>budżetów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II.1.1 Nadwyżka budżetu</w:t>
              <w:br/>
              <w:t>(+)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7 810 828,56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4 094 774,94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II.3 Pozostałe</w:t>
              <w:br/>
              <w:t>należności i rozliczenia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II.1.2 Deficyt budżetu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II.1.3 Niewykonane</w:t>
              <w:br/>
              <w:t>wydatki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-49 680,00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II.2 Wynik na operacjach</w:t>
              <w:br/>
              <w:t>niekasowych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II.3 Rezerwa na</w:t>
              <w:br/>
              <w:t>niewygasające wydatki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49 680,00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II.4 Środki z prywatyzacji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II.5 Skumulowany wynik</w:t>
              <w:br/>
              <w:t>budżetu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15 340 063,67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23 101 212,23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 Rozliczenia</w:t>
              <w:br/>
              <w:t>międzyokresowe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2 492 730,86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2 780 607,92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aktywów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27 240 866,59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31 256 011,99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Suma pasywów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27 240 866,59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31 256 011,99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13" w:val="left"/>
          <w:tab w:pos="691" w:val="left"/>
          <w:tab w:leader="underscore" w:pos="140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2026-02-27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  <w:bookmarkEnd w:id="0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880"/>
        <w:jc w:val="left"/>
        <w:rPr>
          <w:sz w:val="19"/>
          <w:szCs w:val="19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831" w:right="545" w:bottom="1296" w:left="545" w:header="403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4D485AB7679FF916</w:t>
      </w:r>
    </w:p>
    <w:p>
      <w:pPr>
        <w:pStyle w:val="Style2"/>
        <w:keepNext w:val="0"/>
        <w:keepLines w:val="0"/>
        <w:framePr w:w="2083" w:h="466" w:wrap="none" w:hAnchor="page" w:x="6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bilansu</w:t>
      </w: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627" w:bottom="1917" w:left="627" w:header="1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29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1297305</wp:posOffset>
                </wp:positionH>
                <wp:positionV relativeFrom="paragraph">
                  <wp:posOffset>12700</wp:posOffset>
                </wp:positionV>
                <wp:extent cx="1002665" cy="42354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skarbnik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2.15000000000001pt;margin-top:1.pt;width:78.950000000000003pt;height:33.3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skarbnik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13" w:val="left"/>
          <w:tab w:pos="691" w:val="left"/>
          <w:tab w:leader="underscore" w:pos="14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2026-02-27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1140" w:right="0" w:firstLine="0"/>
        <w:jc w:val="left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  <w:bookmarkEnd w:id="3"/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bookmarkStart w:id="5" w:name="bookmark5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4D485AB7679FF916</w:t>
      </w:r>
      <w:bookmarkEnd w:id="5"/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4477" w:bottom="1296" w:left="468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5649595</wp:posOffset>
              </wp:positionH>
              <wp:positionV relativeFrom="page">
                <wp:posOffset>9412605</wp:posOffset>
              </wp:positionV>
              <wp:extent cx="969010" cy="3111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69010" cy="311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Sławomir Kosmalski</w:t>
                          </w:r>
                        </w:p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pl-PL" w:eastAsia="pl-PL" w:bidi="pl-PL"/>
                            </w:rPr>
                            <w:t>zarząd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4.85000000000002pt;margin-top:741.14999999999998pt;width:76.299999999999997pt;height:2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Sławomir Kosmalski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pl-PL" w:eastAsia="pl-PL" w:bidi="pl-PL"/>
                      </w:rPr>
                      <w:t>zarząd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9808845</wp:posOffset>
              </wp:positionV>
              <wp:extent cx="6617335" cy="4267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17335" cy="426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</w:r>
                        </w:p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2</w:t>
                          </w:r>
                        </w:p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2026.02.27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2.600000000000001pt;margin-top:772.35000000000002pt;width:521.04999999999995pt;height:33.6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2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2026.02.27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Tekst treści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Inne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Nagłówek lub stopka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Nagłówek #1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Tekst treści (2)"/>
    <w:basedOn w:val="Normal"/>
    <w:link w:val="CharStyle5"/>
    <w:pPr>
      <w:widowControl w:val="0"/>
      <w:shd w:val="clear" w:color="auto" w:fill="auto"/>
      <w:ind w:firstLine="5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Inne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Nagłówek lub stopka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Nagłówek #1"/>
    <w:basedOn w:val="Normal"/>
    <w:link w:val="CharStyle23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