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71" w:right="519" w:bottom="1215" w:left="49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69"/>
        <w:gridCol w:w="158"/>
        <w:gridCol w:w="3134"/>
        <w:gridCol w:w="3706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76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GMINNY ŻŁOBEK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Krzywińska 4A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188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BILANS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b/>
                <w:bCs/>
                <w:color w:val="EDA0A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9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dzj^ń 31-12-2023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492154461B4B26A6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1" w:lineRule="auto"/>
              <w:ind w:left="0" w:right="0" w:firstLine="22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IIIIIIIIIIIIIUIIIIIIIIIIII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387254373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dot" w:pos="240" w:val="left"/>
                <w:tab w:leader="dot" w:pos="31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color w:val="EDA0A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ab/>
              <w:tab/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—2J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5"/>
        <w:gridCol w:w="1728"/>
        <w:gridCol w:w="1704"/>
        <w:gridCol w:w="1997"/>
        <w:gridCol w:w="1699"/>
        <w:gridCol w:w="1728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-16 042,69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-16 375,49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237 529,46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145 972,55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20 260,35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20 228,12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20 260,35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20 228,12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3 335,37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3 399,42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16 365,79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16 680,07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2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12700</wp:posOffset>
                </wp:positionV>
                <wp:extent cx="1825625" cy="2984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05" w:val="left"/>
                              </w:tabs>
                              <w:bidi w:val="0"/>
                              <w:spacing w:before="0" w:after="0"/>
                              <w:ind w:left="920" w:right="0" w:hanging="9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600000000000001pt;margin-top:1.pt;width:143.75pt;height:23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05" w:val="left"/>
                        </w:tabs>
                        <w:bidi w:val="0"/>
                        <w:spacing w:before="0" w:after="0"/>
                        <w:ind w:left="920" w:right="0" w:hanging="9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12700</wp:posOffset>
                </wp:positionV>
                <wp:extent cx="1182370" cy="34734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6.80000000000001pt;margin-top:1.pt;width:93.100000000000009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zak</w:t>
                        <w:br/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_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0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2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492154461B4B26A6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2040"/>
        <w:gridCol w:w="1718"/>
        <w:gridCol w:w="1709"/>
        <w:gridCol w:w="1987"/>
        <w:gridCol w:w="170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3 852,63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148,63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1.8.1 Zakładowy</w:t>
              <w:br/>
              <w:t>Fundusz Świadczeń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148,63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3 658.47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2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12700</wp:posOffset>
                </wp:positionV>
                <wp:extent cx="1828800" cy="30162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.5pt;margin-top:1.pt;width:144.pt;height:23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ragraph">
                  <wp:posOffset>12700</wp:posOffset>
                </wp:positionV>
                <wp:extent cx="1182370" cy="35369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6.94999999999999pt;margin-top:1.pt;width:93.100000000000009pt;height:27.8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</w:t>
                        <w:br/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4"/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341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492154461B4B26A6</w:t>
      </w:r>
      <w:bookmarkEnd w:id="6"/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14"/>
        <w:gridCol w:w="1704"/>
        <w:gridCol w:w="1987"/>
        <w:gridCol w:w="170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4 217,66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3 852,63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4 217,66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3 852,63</w:t>
            </w:r>
          </w:p>
        </w:tc>
      </w:tr>
    </w:tbl>
    <w:p>
      <w:pPr>
        <w:widowControl w:val="0"/>
        <w:spacing w:after="12519" w:line="1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12700</wp:posOffset>
                </wp:positionV>
                <wp:extent cx="1828800" cy="30162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Maria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.pt;margin-top:1.pt;width:144.pt;height:23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Maria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12700</wp:posOffset>
                </wp:positionV>
                <wp:extent cx="1185545" cy="35369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6.69999999999999pt;margin-top:1.pt;width:93.350000000000009pt;height:27.8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mczak</w:t>
                        <w:br/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1" w:right="519" w:bottom="1215" w:left="4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492154461B4B26A6</w:t>
      </w:r>
    </w:p>
    <w:p>
      <w:pPr>
        <w:pStyle w:val="Style7"/>
        <w:keepNext w:val="0"/>
        <w:keepLines w:val="0"/>
        <w:framePr w:w="2208" w:h="254" w:wrap="none" w:hAnchor="page" w:x="5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pStyle w:val="Style7"/>
        <w:keepNext w:val="0"/>
        <w:keepLines w:val="0"/>
        <w:framePr w:w="2875" w:h="475" w:wrap="none" w:hAnchor="page" w:x="798" w:y="14209"/>
        <w:widowControl w:val="0"/>
        <w:pBdr>
          <w:bottom w:val="single" w:sz="4" w:space="0" w:color="auto"/>
        </w:pBdr>
        <w:shd w:val="clear" w:color="auto" w:fill="auto"/>
        <w:tabs>
          <w:tab w:leader="underscore" w:pos="64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7"/>
        <w:keepNext w:val="0"/>
        <w:keepLines w:val="0"/>
        <w:framePr w:w="2875" w:h="475" w:wrap="none" w:hAnchor="page" w:x="798" w:y="14209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2266" w:h="850" w:wrap="none" w:hAnchor="page" w:x="4763" w:y="14219"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framePr w:w="2266" w:h="850" w:wrap="none" w:hAnchor="page" w:x="4763" w:y="14219"/>
        <w:widowControl w:val="0"/>
        <w:shd w:val="clear" w:color="auto" w:fill="auto"/>
        <w:bidi w:val="0"/>
        <w:spacing w:before="0" w:after="0" w:line="34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492154461B4B26A6</w:t>
      </w:r>
    </w:p>
    <w:p>
      <w:pPr>
        <w:pStyle w:val="Style7"/>
        <w:keepNext w:val="0"/>
        <w:keepLines w:val="0"/>
        <w:framePr w:w="1867" w:h="538" w:wrap="none" w:hAnchor="page" w:x="8732" w:y="14233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7" w:right="563" w:bottom="1229" w:left="58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9994265</wp:posOffset>
              </wp:positionV>
              <wp:extent cx="36576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050000000000004pt;margin-top:786.95000000000005pt;width:28.8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2075815</wp:posOffset>
              </wp:positionH>
              <wp:positionV relativeFrom="page">
                <wp:posOffset>10177145</wp:posOffset>
              </wp:positionV>
              <wp:extent cx="5120640" cy="2895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064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3.45000000000002pt;margin-top:801.35000000000002pt;width:403.19999999999999pt;height:22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Nagłówek #1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Nagłówek #1"/>
    <w:basedOn w:val="Normal"/>
    <w:link w:val="CharStyle21"/>
    <w:pPr>
      <w:widowControl w:val="0"/>
      <w:shd w:val="clear" w:color="auto" w:fill="auto"/>
      <w:spacing w:after="360" w:line="334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SSkan24040411380</dc:title>
  <dc:subject/>
  <dc:creator>Bogna Kaźmierczak</dc:creator>
  <cp:keywords/>
</cp:coreProperties>
</file>