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budżetu Gminy Osieczna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6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33/2024 Burmistrza Gminy Osieczna z dnia 29 marca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107 874,00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19 594 186,75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19 608 383,75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284 104,00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298 301,00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</w:t>
              <w:br/>
              <w:t>dofinansowanie zadań bieżących w zakresie pomocy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42 679,00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219 066,00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358 118,86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577 184,86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22 640,86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22 640,86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22 640,86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22 640,86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365 170,00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77 938 888,94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480 189,86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78 419 078,80</w:t>
            </w:r>
          </w:p>
        </w:tc>
      </w:tr>
    </w:tbl>
    <w:p>
      <w:pPr>
        <w:widowControl w:val="0"/>
        <w:spacing w:after="18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84" w:right="1294" w:bottom="780" w:left="844" w:header="556" w:footer="3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