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22" w:h="139" w:wrap="none" w:hAnchor="page" w:x="973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2024.02.05 07:56:39</w:t>
      </w:r>
    </w:p>
    <w:p>
      <w:pPr>
        <w:widowControl w:val="0"/>
        <w:spacing w:after="138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3614420</wp:posOffset>
            </wp:positionH>
            <wp:positionV relativeFrom="margin">
              <wp:posOffset>344170</wp:posOffset>
            </wp:positionV>
            <wp:extent cx="2480945" cy="17614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80945" cy="17614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383" w:right="1221" w:bottom="1697" w:left="1017" w:header="955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12700</wp:posOffset>
                </wp:positionV>
                <wp:extent cx="847090" cy="42354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Signer: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CN=NSA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C=PL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O=Naczelny Sąd Administra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2.5.4.97=YATPL-52515680'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7.25pt;margin-top:1.pt;width:66.700000000000003pt;height:33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Signer: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CN=NSA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C=PL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O=Naczelny Sąd Administra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2.5.4.97=YATPL-52515680'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Naczelny Sąd Administracyjny</w:t>
        <w:br/>
        <w:t>00-011 Warszawa, ul. Boduena 3/5</w:t>
        <w:br/>
        <w:t>Izba Gospodarcza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WYDZIAŁ I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40" w:line="259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Dnia 5 lutego 2024 r.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Sygn. akt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 GZ 390/23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odpowiedzi należy podać</w:t>
        <w:br/>
        <w:t>sygnaturę akt Sądu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  <w:bookmarkEnd w:id="0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/646g0cydqn/SkrytkaESP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wykonaniu zarządzenia z dnia 31 stycznia 2024 r. Sekretariat Wydziału I Izby</w:t>
        <w:br/>
        <w:t>Gospodarczej Naczelnego Sądu Administracyjnego w załączeniu przesyła odpis</w:t>
        <w:br/>
        <w:t>orzeczenia z dnia 23 stycznia 2024 r., sygn. akt I GZ 390/23, w sprawie z zażalenia</w:t>
        <w:br/>
        <w:t>Andrzeja Wróbla na postanowienie Wojewódzkiego Sądu Administracyjnego w Poznaniu z</w:t>
        <w:br/>
        <w:t>dnia 15 września 2023 r., sygn. akt III SA/Po 405/23 w zakresie odrzucenia skargi w</w:t>
        <w:br/>
        <w:t>sprawie ze skarg Andrzeja Wróbla, Gerarda Norkiewicza, Katarzyny Raczak, Sandry</w:t>
        <w:br/>
        <w:t>Bogusz, Macieja Organisty, Eweliny Smolibowskiej, Radosława Szymańskiego, Agnieszki</w:t>
        <w:br/>
        <w:t>Szymańskiej, Jana Wojtyczki, Bronisławy Wojtyczki, Sławomira Kaczora, Krzysztofa</w:t>
        <w:br/>
        <w:t>Chudzińskiego, Ireneusza Kaminiarza, Andrzeja Chudzińskiego, Marka Swierczyka, Ireny</w:t>
        <w:br/>
        <w:t>Pauli, Leona Ziemlińskiego, Damiana Paczkowskiego, Haliny Fogt, Roberta Bartosza,</w:t>
        <w:br/>
        <w:t>Zdzisławy Ellert, Grażyny Lewandowskiej, Waldemara Malasińskiego i Krzysztofa Raczaka</w:t>
        <w:br/>
        <w:t>na zarządzenie Burmistrza Gminy Osieczna z dnia 22 maja 2023 r. nr 58/2023 w</w:t>
        <w:br/>
        <w:t>przedmiocie stawki opłaty za wjazd na teren letniska.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Jednocześnie informuje, iż akta administracyjne zostaną zwrócone Wojewódzkiemu</w:t>
        <w:br/>
        <w:t>Sądowi Administracyjnemu.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Załączone orzeczenie jest ostateczne i nie podlega zaskarżeniu.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- odpis orzeczenia z dnia 23 stycznia 2024 r.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Kierownika Sekretariatu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40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3" w:right="1337" w:bottom="1797" w:left="101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JuliaMMh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120140" distL="0" distR="0" simplePos="0" relativeHeight="125829380" behindDoc="0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0</wp:posOffset>
                </wp:positionV>
                <wp:extent cx="960120" cy="36258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 w:firstLine="0"/>
                              <w:jc w:val="center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ODPIS</w:t>
                            </w:r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7.10000000000002pt;margin-top:0;width:75.600000000000009pt;height:28.550000000000001pt;z-index:-125829373;mso-wrap-distance-left:0;mso-wrap-distance-right:0;mso-wrap-distance-bottom:88.200000000000003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center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ODPIS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36320" distB="266700" distL="0" distR="0" simplePos="0" relativeHeight="125829382" behindDoc="0" locked="0" layoutInCell="1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1036320</wp:posOffset>
                </wp:positionV>
                <wp:extent cx="1283335" cy="1797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3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POSTANOWIENIE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48.84999999999999pt;margin-top:81.600000000000009pt;width:101.05pt;height:14.15pt;z-index:-125829371;mso-wrap-distance-left:0;mso-wrap-distance-top:81.600000000000009pt;mso-wrap-distance-right:0;mso-wrap-distance-bottom:21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POSTANOWIENIE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Dnia 23 stycznia 2024 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Naczelny Sąd Administracyjny w składzie: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Przewodniczący: Sędzia NSA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Sobocha-Holc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 rozpoznaniu w dniu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23 stycznia 2024 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posiedzeniu niejawnym w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Izbie Gospodarczej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zażalenia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Andrzeja Wróbla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postanowienie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Wojewódzkiego Sądu Administracyjnego w Poznaniu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dnia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15 września 2023 r.,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sygn. akt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III SA/Po 405/23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zakresie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odrzucenia skargi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sprawie ze skarg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Andrzeja Wróbla, Gerarda Norkiewicza, Katarzyny Raczak,</w:t>
        <w:br/>
        <w:t>Sandry Bogusz, Macieja Organisty, Eweliny Smolibowskiej, Radosława</w:t>
        <w:br/>
        <w:t>Szymańskiego, Agnieszki Szymańskiej, Jana Wojtyczki, Bronisławy Wojtyczki,</w:t>
        <w:br/>
        <w:t>Sławomira Kaczora, Krzysztofa Chudzińskiego, Ireneusza Kaminiarza, Andrzeja</w:t>
        <w:br/>
        <w:t>Chudzińskiego, Marka Swierczyka, Ireny Pauli, Leona Ziemlińskiego, Damiana</w:t>
        <w:br/>
        <w:t>Paczkowskiego, Haliny Fogt, Roberta Bartosza, Zdzisławy Ellert, Grażyny</w:t>
        <w:br/>
        <w:t>Lewandowskiej, Waldemara Malasińskiego i Krzysztofa Raczaka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zarządzenie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Burmistrza Gminy Osieczna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dnia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22 maja 2023 r.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nr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58/2023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przedmiocie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stawki opłaty za wjazd na teren letniska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postanawia: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both"/>
      </w:pPr>
      <w: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3059430</wp:posOffset>
            </wp:positionH>
            <wp:positionV relativeFrom="paragraph">
              <wp:posOffset>50800</wp:posOffset>
            </wp:positionV>
            <wp:extent cx="1505585" cy="1426210"/>
            <wp:wrapTight wrapText="bothSides">
              <wp:wrapPolygon>
                <wp:start x="1137" y="0"/>
                <wp:lineTo x="20463" y="0"/>
                <wp:lineTo x="20463" y="8400"/>
                <wp:lineTo x="21600" y="8400"/>
                <wp:lineTo x="21600" y="10800"/>
                <wp:lineTo x="20463" y="10800"/>
                <wp:lineTo x="20463" y="13200"/>
                <wp:lineTo x="21600" y="13200"/>
                <wp:lineTo x="21600" y="20400"/>
                <wp:lineTo x="20463" y="20400"/>
                <wp:lineTo x="20463" y="21600"/>
                <wp:lineTo x="1137" y="21600"/>
                <wp:lineTo x="1137" y="20400"/>
                <wp:lineTo x="0" y="20400"/>
                <wp:lineTo x="0" y="7200"/>
                <wp:lineTo x="1137" y="7200"/>
                <wp:lineTo x="1137" y="4800"/>
                <wp:lineTo x="0" y="4800"/>
                <wp:lineTo x="0" y="1200"/>
                <wp:lineTo x="1137" y="1200"/>
                <wp:lineTo x="1137" y="0"/>
              </wp:wrapPolygon>
            </wp:wrapTight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505585" cy="14262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uchylić zaskarżone postanowienie w zakresie odrzucenia skargi Andrzeja Wróbla.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23" w:lineRule="auto"/>
        <w:ind w:left="1200" w:right="0" w:hanging="160"/>
        <w:jc w:val="left"/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604" w:right="1331" w:bottom="2392" w:left="143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oryginale właściwy poór -</w:t>
        <w:br/>
        <w:t>Za zgodność z oryginałem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Postanowieniem z 15 września 2023 r., sygn. akt III SA/Po 405/23,</w:t>
        <w:br/>
        <w:t>Wojewódzki Sąd Administracyjny w Poznaniu odrzucił skargi Andrzeja Wróbla (dalej:</w:t>
        <w:br/>
        <w:t>skarżący, strona, wnoszący zażalenie) oraz Gerarda Norkiewicza, Katarzyny Raczak,</w:t>
        <w:br/>
        <w:t>Sandry Bogusz, Macieja Organisty, Eweliny Smolibowskiej, Radosława</w:t>
        <w:br/>
        <w:t>Szymańskiego, Agnieszki Szymańskiej, Jana Wojtyczki, Bronisławy Wojtyczki,</w:t>
        <w:br/>
        <w:t>Sławomira Kaczora, Krzysztofa Chudzińskiego, Ireneusza Kaminiarza, Andrzeja</w:t>
        <w:br/>
        <w:t>Chudzińskiego, Marka Swierczyka, Ireny Pauli, Leona Ziemlińskiego, Damiana</w:t>
        <w:br/>
        <w:t>Paczkowskiego, Haliny Fogt, Roberta Bartosza, Zdzisławy Ellert, Grażyny</w:t>
        <w:br/>
        <w:t>Lewandowskiej, Waldemara Malasińskiego i Krzysztofa Raczaka (dalej: pozostali</w:t>
        <w:br/>
        <w:t>skarżący) na zarządzenie Burmistrza Gminy Osieczna z 22 maja 2023 r.</w:t>
        <w:br/>
        <w:t>w przedmiocie ustalenia stawki opłat za wjazd na teren letniska.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Uzasadniając rozstrzygnięcie Sąd I instancji wskazał, że część skarżących nie</w:t>
        <w:br/>
        <w:t>uzupełniła w terminie braku formalnego skargi przez podanie numeru PESEL,</w:t>
        <w:br/>
        <w:t>natomiast ci, którzy uzupełnili ten brak, nie wykazali w terminie interesu prawnego lub</w:t>
        <w:br/>
        <w:t>uprawnienia we wniesieniu skargi. W odniesieniu do Andrzeja Wróbla, który jako</w:t>
        <w:br/>
        <w:t>jedyny ze skarżących odpowiedział na wezwanie wskazując, że jest jednym</w:t>
        <w:br/>
        <w:t>z dzierżawców terenów przeznaczonych pod zabudowę rekreacyjną, których dotyczy</w:t>
        <w:br/>
        <w:t>zaskarżone zarządzenie i przesyłając drogą elektroniczną fakturę za dzierżawę</w:t>
        <w:br/>
        <w:t>terenu, Sąd I instancji stwierdził, że przesłana faktura nie określa, jakiego terenu</w:t>
        <w:br/>
        <w:t>dotyczy, stąd nie wiadomo czy leży on na terenie letniska objętego zaskarżonym</w:t>
        <w:br/>
        <w:t>zarządzeniem, zatem nie można jej uznać za uzupełnienie braku formalnego skargi.</w:t>
        <w:br/>
        <w:t>WSA odrzucił skargi na podstawie art. 58 § 1 pkt 3 ustawy z 30 sierpnia 2002 r. -</w:t>
        <w:br/>
        <w:t>Prawo o postępowaniu przed sądami administracyjnymi (Dz. U. z 2023 r., poz. 1634</w:t>
        <w:br/>
        <w:t>ze zm., dalej: p.p.s.a.).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1830" w:right="1167" w:bottom="1571" w:left="132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Andrzej Wróbel wniósł zażalenie na postanowienie z 15 września 2023 r.,</w:t>
        <w:br/>
        <w:t>podnosząc, że składając informację o uprawnieniu do wniesienia skargi</w:t>
        <w:br/>
        <w:t>i „przedkładając jako załącznik umowę dzierżawy”, działał w przekonaniu</w:t>
        <w:br/>
        <w:t>o poprawności złożonego oświadczenia. W zażaleniu podtrzymał swoje stanowisko,</w:t>
        <w:br/>
        <w:t>wskazując, że w dalszym ciągu jest dzierżawcą działki na terenie letniska</w:t>
        <w:br/>
        <w:t>i przesyłając fotokopię pisma Gminy Osieczna informującego o stawce czynszu oraz</w:t>
        <w:br/>
        <w:t>wskazującego na przedmiot dzierżawy i jego lokalizację.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680"/>
        <w:jc w:val="left"/>
      </w:pPr>
      <w:r>
        <w:drawing>
          <wp:anchor distT="0" distB="0" distL="0" distR="0" simplePos="0" relativeHeight="62914705" behindDoc="1" locked="0" layoutInCell="1" allowOverlap="1">
            <wp:simplePos x="0" y="0"/>
            <wp:positionH relativeFrom="margin">
              <wp:posOffset>2127250</wp:posOffset>
            </wp:positionH>
            <wp:positionV relativeFrom="margin">
              <wp:posOffset>6934200</wp:posOffset>
            </wp:positionV>
            <wp:extent cx="1426210" cy="1426210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426210" cy="14262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Naczelny Sąd Administracyjny zważył, co następuje: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Zażalenie zasługuje na uwzględnienie.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Stosownie do art. 50 § 1 p.p.s.a. uprawnionym do wniesienia skargi jest</w:t>
        <w:br/>
        <w:t>każdy, kto ma w tym interes prawny. Zasadnie zatem Sąd I instancji wezwał</w:t>
        <w:br/>
        <w:t>skarżących do wykazania interesu prawnego lub uprawnienia we wniesieniu skargi,</w:t>
        <w:br/>
        <w:t>w terminie 7 dni od doręczenia wezwania, pod rygorem odrzucenia skargi.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także zgodzić się z oceną przedstawionej przez wnoszącego zażalenie</w:t>
        <w:br/>
        <w:t>faktury VAT jako dokumentu, który nie wykazuje interesu prawnego skarżącego.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Sąd I instancji w uzasadnieniu postanowienia o odrzuceniu skarg pominął</w:t>
        <w:br/>
        <w:t>jednak, że skarżący - poza dołączeniem faktury za czynsz z tytułu dzierżawy - złożył</w:t>
        <w:br/>
        <w:t>również oświadczenie, że jest jednym z dzierżawców, których dotyczy zaskarżone</w:t>
        <w:br/>
        <w:t>zarządzenie.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Podkreślenia wymaga treść wezwania Sądu, w którym nie sprecyzowano</w:t>
        <w:br/>
        <w:t>sposobu, w jaki skarżący mieli wykazać swój interes prawny lub uprawnienie (np.</w:t>
        <w:br/>
        <w:t>przez wskazanie, jaki dokument będzie uznany za wykazujący interes prawny lub</w:t>
        <w:br/>
        <w:t>uprawnienie). Z tego względu, a także z uwagi na przepis art. 6 p.p.s.a., zgodnie</w:t>
        <w:br/>
        <w:t>z którym sąd administracyjny w razie uzasadnionej potrzeby udziela stronom</w:t>
        <w:br/>
        <w:t>występującym w sprawie bez adwokata, radcy prawnego, doradcy podatkowego lub</w:t>
        <w:br/>
        <w:t>rzecznika patentowego niezbędnych pouczeń co do czynności procesowych</w:t>
        <w:br/>
        <w:t>i skutków ich zaniedbań, Sąd I instancji powinien pouczyć skarżącego, że jego</w:t>
        <w:br/>
        <w:t>oświadczenie oraz dołączona do niego faktura nie mogą być uznane za wykazujące</w:t>
        <w:br/>
        <w:t>istnienie po jego stronie interesu prawnego do wniesienia skargi. Sąd powinien także</w:t>
        <w:br/>
        <w:t>ponownie wezwać skarżącego do usunięcia braku formalnego skargi, tym razem</w:t>
        <w:br/>
        <w:t>wskazując, jaki rodzaj dokumentu skarżący powinien przedstawić.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Wobec powyższego Naczelny Sąd Administracyjny na podstawie art. 185 § 1</w:t>
        <w:br/>
        <w:t>w związku z art. 197 § 2 p.p.s.a. orzekł o uchyleniu zaskarżonego postanowienia</w:t>
        <w:br/>
        <w:t xml:space="preserve">w zakresie odrzucenia skargi wnoszącegp„za&lt;alenie.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Na oryginałe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właściwy podpis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1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 zgodność z oryginałem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7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JuliaNifiłtuk</w:t>
      </w:r>
    </w:p>
    <w:sectPr>
      <w:headerReference w:type="default" r:id="rId16"/>
      <w:footerReference w:type="default" r:id="rId17"/>
      <w:footnotePr>
        <w:pos w:val="pageBottom"/>
        <w:numFmt w:val="decimal"/>
        <w:numRestart w:val="continuous"/>
      </w:footnotePr>
      <w:pgSz w:w="11900" w:h="16840"/>
      <w:pgMar w:top="1582" w:right="662" w:bottom="2826" w:left="183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5692775</wp:posOffset>
              </wp:positionH>
              <wp:positionV relativeFrom="page">
                <wp:posOffset>9552305</wp:posOffset>
              </wp:positionV>
              <wp:extent cx="966470" cy="1282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647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Referent stażysta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8.25pt;margin-top:752.14999999999998pt;width:76.100000000000009pt;height:10.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Referent stażysta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657860</wp:posOffset>
              </wp:positionH>
              <wp:positionV relativeFrom="page">
                <wp:posOffset>10092055</wp:posOffset>
              </wp:positionV>
              <wp:extent cx="2545080" cy="977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4508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NSA/dor.1 - doręczenie odpisu orzeczenia w spr. „SK", </w:t>
                          </w: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1.800000000000004pt;margin-top:794.64999999999998pt;width:200.40000000000001pt;height:7.70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NSA/dor.1 - doręczenie odpisu orzeczenia w spr. „SK", </w:t>
                    </w: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5873115</wp:posOffset>
              </wp:positionH>
              <wp:positionV relativeFrom="page">
                <wp:posOffset>9174480</wp:posOffset>
              </wp:positionV>
              <wp:extent cx="972185" cy="12827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21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Referąnt stażysta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62.44999999999999pt;margin-top:722.39999999999998pt;width:76.549999999999997pt;height:10.1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Referąnt stażysta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10019030</wp:posOffset>
              </wp:positionV>
              <wp:extent cx="1612265" cy="977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1226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NSA/post.1 - postanowienie „ogólne"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5.799999999999997pt;margin-top:788.89999999999998pt;width:126.95pt;height:7.70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NSA/post.1 - postanowienie „ogólne"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3630295</wp:posOffset>
              </wp:positionH>
              <wp:positionV relativeFrom="page">
                <wp:posOffset>10189845</wp:posOffset>
              </wp:positionV>
              <wp:extent cx="39370" cy="10668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85.85000000000002pt;margin-top:802.35000000000002pt;width:3.1000000000000001pt;height:8.4000000000000004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5822950</wp:posOffset>
              </wp:positionH>
              <wp:positionV relativeFrom="page">
                <wp:posOffset>8898890</wp:posOffset>
              </wp:positionV>
              <wp:extent cx="972185" cy="15240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2185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Referę/t Stażysta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58.5pt;margin-top:700.70000000000005pt;width:76.549999999999997pt;height:12.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Referę/t Stażysta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10005695</wp:posOffset>
              </wp:positionV>
              <wp:extent cx="67310" cy="11303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09.19999999999999pt;margin-top:787.85000000000002pt;width:5.2999999999999998pt;height:8.9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868680</wp:posOffset>
              </wp:positionV>
              <wp:extent cx="1423670" cy="14922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23670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 xml:space="preserve">Sygn. akt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I GZ 390/23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2.900000000000006pt;margin-top:68.400000000000006pt;width:112.10000000000001pt;height:11.7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 xml:space="preserve">Sygn. akt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I GZ 390/23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722630</wp:posOffset>
              </wp:positionV>
              <wp:extent cx="1475105" cy="14605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7510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Sygn. akt I GZ 390/23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2.75pt;margin-top:56.899999999999999pt;width:116.15000000000001pt;height:11.5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Sygn. akt I GZ 390/23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581025</wp:posOffset>
              </wp:positionV>
              <wp:extent cx="1459865" cy="14922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9865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Sygn. akt I GZ 390/23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92.5pt;margin-top:45.75pt;width:114.95pt;height:11.7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Sygn. akt I GZ 390/23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5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Tekst treści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Tekst treści (3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główek #2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Tekst treści (4)_"/>
    <w:basedOn w:val="DefaultParagraphFont"/>
    <w:link w:val="Styl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2">
    <w:name w:val="Nagłówek #1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5)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Tekst treści"/>
    <w:basedOn w:val="Normal"/>
    <w:link w:val="CharStyle12"/>
    <w:pPr>
      <w:widowControl w:val="0"/>
      <w:shd w:val="clear" w:color="auto" w:fill="auto"/>
      <w:spacing w:line="386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Tekst treści (3)"/>
    <w:basedOn w:val="Normal"/>
    <w:link w:val="CharStyle15"/>
    <w:pPr>
      <w:widowControl w:val="0"/>
      <w:shd w:val="clear" w:color="auto" w:fill="auto"/>
      <w:spacing w:after="480"/>
      <w:ind w:left="22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główek #2"/>
    <w:basedOn w:val="Normal"/>
    <w:link w:val="CharStyle17"/>
    <w:pPr>
      <w:widowControl w:val="0"/>
      <w:shd w:val="clear" w:color="auto" w:fill="auto"/>
      <w:spacing w:after="39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9">
    <w:name w:val="Tekst treści (4)"/>
    <w:basedOn w:val="Normal"/>
    <w:link w:val="CharStyle20"/>
    <w:pPr>
      <w:widowControl w:val="0"/>
      <w:shd w:val="clear" w:color="auto" w:fill="auto"/>
      <w:spacing w:after="200"/>
      <w:ind w:left="3750" w:right="20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1">
    <w:name w:val="Nagłówek #1"/>
    <w:basedOn w:val="Normal"/>
    <w:link w:val="CharStyle22"/>
    <w:pPr>
      <w:widowControl w:val="0"/>
      <w:shd w:val="clear" w:color="auto" w:fill="auto"/>
      <w:ind w:left="-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3.jpeg"/><Relationship Id="rId15" Type="http://schemas.openxmlformats.org/officeDocument/2006/relationships/image" Target="media/image3.jpeg" TargetMode="External"/><Relationship Id="rId16" Type="http://schemas.openxmlformats.org/officeDocument/2006/relationships/header" Target="header3.xml"/><Relationship Id="rId17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Scanned Document</dc:title>
  <dc:subject/>
  <dc:creator/>
  <cp:keywords/>
</cp:coreProperties>
</file>