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LV.387.2023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lbertus Extra Bold" w:eastAsia="Albertus Extra Bold" w:hAnsi="Albertus Extra Bold" w:cs="Albertus Extra Bold"/>
          <w:b w:val="0"/>
          <w:caps w:val="0"/>
          <w:strike w:val="0"/>
          <w:color w:val="auto"/>
          <w:sz w:val="22"/>
          <w:u w:val="none"/>
        </w:rPr>
      </w:pPr>
      <w:r>
        <w:rPr>
          <w:rFonts w:ascii="Albertus Extra Bold" w:eastAsia="Albertus Extra Bold" w:hAnsi="Albertus Extra Bold" w:cs="Albertus Extra Bold"/>
          <w:b/>
          <w:caps w:val="0"/>
          <w:sz w:val="22"/>
        </w:rPr>
        <w:t>w sprawie wyborów ławników do Sądu Rejonowego w Lesznie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Prawo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ustroju sądów powszechnych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 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Stwierdza się, że ławnikiem do Sądu Rejonowego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Lesznie – do orzekania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sprawach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zakresu prawa pracy – na podstawie tajnego głosowania została wybrana Bożena Arleta Górczak.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LV.387.2023 Rady Miejskiej Gminy Osieczna z dnia 21 września 2023 r. w sprawie wyboru ławników do Sądu Rejonowego w Lesznie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160 § 1 ustawy z dnia 27 lipca 2001 r. Prawo o ustroju sądów powszechnych (t.j. Dz. U. z 2023 r. poz. 217 ze zmianami) ławników do sądów okręgowych oraz do sądów rejonowych wybierają rady gmin, których obszar jest objęty właściwością tych sądów – w głosowaniu tajnym.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Artykuł 164 § 1 ustawy z dnia 27 lipca 2001 r. Prawo o ustroju sądów powszechnych (t.j. Dz. U. z 2023 r. poz. 217 ze zmianami) stanowi, że listę wybranych ławników wraz z dokumentami, o których mowa w art. 162 zgłaszanie kandydatów na ławników, § 2–4, rady gmin, które dokonały ich wyboru, przesyłają prezesom właściwych sądów, najpóźniej do końca października. Spośród ławników znajdujących się na liście wybranych ławników rady gmin wskazują ławników do orzekania w sprawach z zakresu prawa pracy.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upływem kadencji dotychczasowych ławników zachodzi konieczność dokonania wyboru ławników na kadencję 2024-2027.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powyższe pod uwagę podjęcie przedmiotowej uchwały jest zasadne.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068CCF7C-84F3-434E-BD50-26E551E4FE38.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>Id: 068CCF7C-84F3-434E-BD50-26E551E4FE38.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Albertus Medium" w:eastAsia="Albertus Medium" w:hAnsi="Albertus Medium" w:cs="Albertus Medium"/>
              <w:b w:val="0"/>
              <w:sz w:val="18"/>
            </w:rPr>
          </w:pPr>
          <w:r>
            <w:rPr>
              <w:rFonts w:ascii="Albertus Medium" w:eastAsia="Albertus Medium" w:hAnsi="Albertus Medium" w:cs="Albertus Medium"/>
              <w:b w:val="0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separate"/>
          </w:r>
          <w:r>
            <w:rPr>
              <w:rFonts w:ascii="Albertus Medium" w:eastAsia="Albertus Medium" w:hAnsi="Albertus Medium" w:cs="Albertus Medium"/>
              <w:b w:val="0"/>
              <w:sz w:val="18"/>
            </w:rPr>
            <w:fldChar w:fldCharType="end"/>
          </w:r>
        </w:p>
      </w:tc>
    </w:tr>
  </w:tbl>
  <w:p>
    <w:pPr>
      <w:rPr>
        <w:rFonts w:ascii="Albertus Medium" w:eastAsia="Albertus Medium" w:hAnsi="Albertus Medium" w:cs="Albertus Medium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LV.387.2023 z dnia 21 września 2023 r.</dc:title>
  <dc:subject>w sprawie wyborów ławników do Sądu Rejonowego w^Lesznie</dc:subject>
  <dc:creator>m.skorupka</dc:creator>
  <cp:lastModifiedBy>m.skorupka</cp:lastModifiedBy>
  <cp:revision>1</cp:revision>
  <dcterms:created xsi:type="dcterms:W3CDTF">2023-09-22T08:28:05Z</dcterms:created>
  <dcterms:modified xsi:type="dcterms:W3CDTF">2023-09-22T08:28:05Z</dcterms:modified>
  <cp:category>Akt prawny</cp:category>
</cp:coreProperties>
</file>