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5610225</wp:posOffset>
                </wp:positionH>
                <wp:positionV relativeFrom="paragraph">
                  <wp:posOffset>12700</wp:posOffset>
                </wp:positionV>
                <wp:extent cx="1097280" cy="39306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3930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Elektronicznie podpisany przez: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Aldona Pruska; RIO</w:t>
                              <w:br/>
                              <w:t>dnia 17 stycznia 2023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1.75pt;margin-top:1.pt;width:86.400000000000006pt;height:30.9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Elektronicznie podpisany przez: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Aldona Pruska; RIO</w:t>
                        <w:br/>
                        <w:t>dnia 17 stycznia 2023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SO-19/0951/159/2023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37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17 stycznia 2023 roku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60" w:line="377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możliwości sfinansowania przez Gminę Osieczna deficytu budżetu.</w:t>
      </w:r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10 i art. 19 ust. 2 ustawy z dnia 7 października 1992 r.</w:t>
        <w:br/>
        <w:t>o regionalnych izbach obrachunkowych (Dz. U. z 2022 r. poz. 1668) oraz art. 246 ust. 1 i 3 ustawy z dnia</w:t>
        <w:br/>
        <w:t>27 sierpnia 2009 r. o finansach publicznych (Dz. U. z 2022 r. poz. 1634 ze zm.) Skład Orzekający</w:t>
        <w:br/>
        <w:t>Regionalnej Izby Obrachunkowej w Poznaniu wyznaczony Zarządzeniem Nr 21/2022 Prezesa</w:t>
        <w:br/>
        <w:t>Regionalnej Izby Obrachunkowej w Poznaniu z dnia 2 listopada 2022 roku ze zm. w osobach: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07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Aldona Pruska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07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Grażyna Wróblewska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2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Katarzyna Kosmowska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37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dokonaniu analizy uchwały Nr XLVIII.335.2022 Rady Miejskiej Gminy Osieczna z dnia 20 grudnia</w:t>
        <w:br/>
        <w:t>2022r. w sprawie uchwały budżetowej Gminy Osieczna na 2023 rok, wyraża: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</w:t>
      </w:r>
      <w:bookmarkEnd w:id="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możliwości sfinansowania przez Gminę Osieczna deficytu budżetu.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Analizując możliwość sfinansowania w 2023 roku przez Gminę Osieczna deficytu budżetu Skład</w:t>
        <w:br/>
        <w:t>Orzekający ustalił, co następuje: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uchwale budżetowej na 2023 rok ustalone zostały: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1" w:val="left"/>
          <w:tab w:pos="36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w kwocie 46.503.824,06 zł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 kwocie 52.810.456,63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Deficyt budżetu rozumiany jako różnica pomiędzy dochodami a wydatkami wynosi</w:t>
        <w:br/>
        <w:t>6.306.632,57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6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03" w:right="1039" w:bottom="303" w:left="1020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§ 3 uchwały budżetowej postanowiono, że: 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Źródłem pokrycia deficytu są przychody z</w:t>
        <w:br/>
        <w:t>niewykorzystanych środków pieniężnych na rachunku bieżącym budżetu, wynikających z rozliczenia</w:t>
        <w:br/>
        <w:t>dochodów i wydatków nimi finansowanych związanych ze szczególnymi zasadami wykonywania budżetu</w:t>
        <w:br/>
        <w:t>określonymi w odrębnych ustawach, przychody z tytułu wolnych środków oraz przychody z tytułu</w:t>
        <w:br/>
        <w:t>pożyczek i kredytów na rynku krajowym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”, a zatem wskazano prawnie dopuszczalne źródła sfinansowania</w:t>
        <w:br/>
        <w:t>deficytu.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uchwale w sprawie wieloletniej prognozy finansowej Gminy Osieczna, jako źródła</w:t>
        <w:br/>
        <w:t>sfinansowania deficytu budżetu w wysokości 6.306.632,57 zł, wskazano przychody z tytułu: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kredytów, pożyczek, emisji papierów wartościowych (poz. 4.1.1) - 5.775.815,07 zł,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before="0" w:after="0"/>
        <w:ind w:left="72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nadwyżki z lat ubiegłych, w tym niewykorzystanych środków, o których mowa w art. 217 ust. 2</w:t>
        <w:br/>
        <w:t>pkt 8 ustawy o finansach publicznych (poz. 4.2.1) - 95.817,50 zł,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wolnych środków, o których mowa w art. 217 ust. 2 pkt 6 ustawy (poz. 4.3.1) - 435.000,00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postanowieniach uchwały (§ 4) wykazano łączną kwotę przychodów w wysokości</w:t>
        <w:br/>
        <w:t>6.706.632,57 zł oraz łączną kwotę rozchodów w wysokości 400.000,00 zł. W załączniku Nr 10 -</w:t>
        <w:br/>
        <w:t>„Zestawienie przychodów i rozchodów budżetu Gminy Osieczna na 2023 rok” przedstawione zostały</w:t>
        <w:br/>
        <w:t>przychody i rozchody budżetu wg tytułów (wg paragrafów klasyfikacji budżetowej). Na przychody</w:t>
        <w:br/>
        <w:t>budżetu składają się: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jednostek samorządu terytorialnego z niewykorzystanych środków pieniężnych na</w:t>
        <w:br/>
        <w:t>rachunku bieżącym budżetu, wynikających z rozliczenia dochodów i wydatków nimi finansowanych</w:t>
        <w:br/>
        <w:t>związanych ze szczególnymi zasadami wykonywania budżetu określonymi w odrębnych ustawach</w:t>
        <w:br/>
        <w:t>(§905) w kwocie 95.817,50 zł,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z zaciągniętych pożyczek i kredytów na rynku krajowym (§ 952) w kwocie 6.175.815,07 zł,</w:t>
        <w:br/>
      </w: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wolne środki, o których mowa w art. 217 ust. 2 pkt 6 ustawy(§ 950) w kwocie 435.000,00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Rozchody zaplanowano w wysokości ogółem 400.000,00 zł z tytułu spłat otrzymanych</w:t>
        <w:br/>
        <w:t>krajowych pożyczek i kredytów (§ 992).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budżecie 2022 roku (po zmianach dokonanych uchwałą Nr XLVI.324.2022 Rady Miejskiej</w:t>
        <w:br/>
        <w:t>Gminy Osieczna z dnia 20 października 2022 r.) powyższe środki wprowadzono po stronie rozchodów z</w:t>
        <w:br/>
        <w:t>tytułu przelewów na rachunki lokat w ogólnej kwocie 530.817,50 zł, a zatem Jednostka dysponuje</w:t>
        <w:br/>
        <w:t>środkami w wysokości wskazanej w uchwale budżetowej na 2023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wskazuje jednocześnie, że rzeczywisty poziom wolnych środków oraz</w:t>
        <w:br/>
        <w:t>niewykorzystanych środków pieniężnych na rachunku bieżącym budżetu, wynikających z rozliczenia</w:t>
        <w:br/>
        <w:t>dochodów i wydatków nimi finansowanych związanych ze szczególnymi zasadami wykonywania</w:t>
        <w:br/>
        <w:t>budżetu określonymi w odrębnych ustawach będzie możliwy do ustalenia dopiero po zakończeniu roku</w:t>
        <w:br/>
        <w:t>budżetowego, zamknięciu ksiąg rachunkowych oraz sporządzeniu sprawozdań finansowych za 2022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Oceniając natomiast możliwość pozyskania przez Gminę Osieczna przewidzianychw uchwale</w:t>
        <w:br/>
        <w:t>budżetowej na rok 2023 przychodów z zaciągniętych pożyczek i kredytów na rynku krajowym, Skład</w:t>
        <w:br/>
        <w:t>Orzekający ustalił, że łączna kwota przypadających do spłaty w 2023 roku rat kredytów i pożyczek</w:t>
        <w:br/>
        <w:t>(400.000,00 zł) wraz z wydatkami bieżącymi na obsługę tych zobowiązań (110.000,00 zł), wynosić</w:t>
        <w:br/>
        <w:t>będzie 510.000,00 zł i nie przekroczy dopuszczalnego limitu spłaty zobowiązań określonego na</w:t>
        <w:br/>
        <w:t>podstawie art. 243 ustawy o finansach publicznych. Relacja, o której mowa w art. 243 ustawy o finansach</w:t>
        <w:br/>
        <w:t>publicznych zostanie zachowana również w pozostałych latach obejmujących okres spłaty zobowiązań</w:t>
        <w:br/>
        <w:t>zaciąganych na sfinansowanie deficytu w 2023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Według oceny Składu Orzekającego wskazane w uchwale budżetowej źródła</w:t>
        <w:br/>
        <w:t>sfinansowania deficytu są prawnie dopuszczalne, a ponadto przychody te są możliwe do pozyskania.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140" w:line="379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Biorąc powyższe pod uwagę Skład Orzekający wyraził opinię jak w sentencji.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6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13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6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/-/ Aldona Pruska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Pouczenie: Od niniejszej uchwały Składu Orzekającego służy odwołanie do Kolegium Izby w terminie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1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14 dni od daty jej doręczenia.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980" w:right="1039" w:bottom="1470" w:left="1044" w:header="0" w:footer="104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473075</wp:posOffset>
              </wp:positionV>
              <wp:extent cx="54610" cy="850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5.35000000000002pt;margin-top:37.25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Nagłówek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Tekst treści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Nagłówek lub stopka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line="34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Nagłówek #1"/>
    <w:basedOn w:val="Normal"/>
    <w:link w:val="CharStyle5"/>
    <w:pPr>
      <w:widowControl w:val="0"/>
      <w:shd w:val="clear" w:color="auto" w:fill="auto"/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spacing w:line="37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Nagłówek lub stopka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