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91" w:h="403" w:wrap="none" w:hAnchor="page" w:x="10116" w:y="50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— LECIE —</w:t>
        <w:br/>
        <w:t>SŁUŻBY CYWILNEJ</w:t>
      </w:r>
    </w:p>
    <w:p>
      <w:pPr>
        <w:pStyle w:val="Style4"/>
        <w:keepNext w:val="0"/>
        <w:keepLines w:val="0"/>
        <w:framePr w:w="3509" w:h="295" w:wrap="none" w:hAnchor="page" w:x="1379" w:y="1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WOJEWODA WIELKOPOLSKI</w:t>
      </w:r>
    </w:p>
    <w:p>
      <w:pPr>
        <w:pStyle w:val="Style4"/>
        <w:keepNext w:val="0"/>
        <w:keepLines w:val="0"/>
        <w:framePr w:w="2628" w:h="286" w:wrap="none" w:hAnchor="page" w:x="7763" w:y="10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Poznań, 7 września 2022 r.</w:t>
      </w:r>
    </w:p>
    <w:p>
      <w:pPr>
        <w:pStyle w:val="Style4"/>
        <w:keepNext w:val="0"/>
        <w:keepLines w:val="0"/>
        <w:framePr w:w="1930" w:h="312" w:wrap="none" w:hAnchor="page" w:x="2104" w:y="1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IR-III.7820.5.2022.2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1734820</wp:posOffset>
            </wp:positionH>
            <wp:positionV relativeFrom="margin">
              <wp:posOffset>0</wp:posOffset>
            </wp:positionV>
            <wp:extent cx="621665" cy="68262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21665" cy="6826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2065" distL="0" distR="620395" simplePos="0" relativeHeight="62914691" behindDoc="1" locked="0" layoutInCell="1" allowOverlap="1">
            <wp:simplePos x="0" y="0"/>
            <wp:positionH relativeFrom="page">
              <wp:posOffset>5916930</wp:posOffset>
            </wp:positionH>
            <wp:positionV relativeFrom="margin">
              <wp:posOffset>48895</wp:posOffset>
            </wp:positionV>
            <wp:extent cx="518160" cy="5118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18160" cy="5118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49" w:right="794" w:bottom="336" w:left="1378" w:header="22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OBWIESZCZENIE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wszczęciu postępowania w sprawie wydania decyzji o zezwoleniu na realizację inwestycji</w:t>
        <w:br/>
        <w:t>drogowej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11d ust. 5 ustawy z dnia 10 kwietnia 2003 r. o szczególnych zasadach</w:t>
        <w:br/>
        <w:t>przygotowania i realizacji inwestycji w zakresie dróg publicznych (Dz.U. z 2022 r. poz. 176</w:t>
        <w:br/>
        <w:t>ze zm.) - zwanej dalej: specustawą,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2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zawiadamiam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wszczęciu postępowania w sprawie wydania decyzji o zezwoleniu na realizację inwestycji</w:t>
        <w:br/>
        <w:t>drogowej dla inwestycji pn.: „Rozbudowa drogi krajowej nr 12 na odcinku Kąkolewo -</w:t>
        <w:br/>
        <w:t>Garzyn”.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Oznaczenie nieruchomości lub ich części, objętych wnioskiem o wydanie decyzji</w:t>
        <w:br/>
        <w:t>o zezwoleniu na realizację przedmiotowej inwestycji drogowej: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wykazach zastosowano następujące oznaczenia: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8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 nawiasem podano numer działki ulegającej podziałowi,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8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nawiasie podano numery działek powstałych po podziale,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8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tłustym drukiem zaznaczono numery działek niezbędnych dla realizacji inwestycji.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Objęte projektowanymi liniami rozgraniczającymi teren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1" w:val="left"/>
        </w:tabs>
        <w:bidi w:val="0"/>
        <w:spacing w:before="0" w:after="60" w:line="31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drogi krajowej 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 leszczyński, gmina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 ewidencyjna: 301303_5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Obręb: 0006 Kąkolewo, dz. o nr. ewid.: 368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368/10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368/11); 368/4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368/18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368/19); 368/7</w:t>
        <w:br/>
        <w:t>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368/12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368/13); 368/8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368/14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368/15); 368/9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368/16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368/17); 369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369/1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369/2); 377</w:t>
        <w:br/>
        <w:t>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377/1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377/2); 379/2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379/3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379/4); 380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380/1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,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380/2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380/3); 381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381/1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381/2); 392</w:t>
        <w:br/>
        <w:t>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392/1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392/2, 392/3); 420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420/1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420/2); 440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440/1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, 440/2);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451/25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;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465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; 491/1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491/15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</w:t>
        <w:br/>
        <w:t>491/16, 491/17); 579/1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579/3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579/4); 580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580/1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580/2); 581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581/1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581/2); 582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582/1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</w:t>
        <w:br/>
        <w:t>582/2); 583/7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583/9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583/10); 583/8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583/11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583/12); 1130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1130/1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1130/2); 1132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1132/1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</w:t>
        <w:br/>
        <w:t>1132/2); 1176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1176/1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, 1176/2);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1183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; 1220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1220/1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1220/2); 1224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1224/1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1224/2); 1285/8</w:t>
        <w:br/>
        <w:t>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1285/9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1285/10); 5124/8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5124/17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5124/18, 5124/19);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8" w:val="left"/>
        </w:tabs>
        <w:bidi w:val="0"/>
        <w:spacing w:before="0" w:after="0" w:line="31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drogi powiatowej: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 leszczyński, gmina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 ewidencyjna: 301303_5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60" w:line="319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Obręb: 0006 Kąkolewo, dz. o nr. ewid.: 392 (392/1,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392/2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392/3);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60" w:line="262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9" w:right="1382" w:bottom="336" w:left="138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al. Niepodległości 16/18, 61-713 Poznań</w:t>
        <w:br/>
        <w:t>tel. 61 854 1708, fax 61 854 1539</w:t>
        <w:br/>
      </w:r>
      <w:r>
        <w:fldChar w:fldCharType="begin"/>
      </w:r>
      <w:r>
        <w:rPr/>
        <w:instrText> HYPERLINK "http://www.poznan.uw.gov.pl"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www.poznan.uw.gov.pl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, e-mail: </w:t>
      </w:r>
      <w:r>
        <w:fldChar w:fldCharType="begin"/>
      </w:r>
      <w:r>
        <w:rPr/>
        <w:instrText> HYPERLINK "mailto:ir@poznan.uw.gov.pl"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ir@poznan.uw.gov.pl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br/>
      </w:r>
      <w:r>
        <w:fldChar w:fldCharType="begin"/>
      </w:r>
      <w:r>
        <w:rPr/>
        <w:instrText> HYPERLINK "http://www.obywatel.gov.pl"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www.obywatel.gov.pl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infolinia tel. 222 500 117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</w:tabs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drogi gminnej: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 leszczyński, gmina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 ewidencyjna: 301303_5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Obręb: 0006 Kąkolewo, dz. o nr. ewid.: 374/2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374/3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, 374/4); 491/1 (491/15,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491/16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491/17);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5124/8 (5124/17,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5124/18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5124/19).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Niezbędne dla dokonania budowy lub przebudowy sieci uzbrojenia terenu: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 leszczyński, gmina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 ewidencyjna: 301303_5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Obręb: 0006 Kąkolewo, dz. o nr. ewid.: 368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368/11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);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370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;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373/4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; 380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380/3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); 381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381/2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);</w:t>
        <w:br/>
        <w:t>582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582/2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);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583/1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; 583/7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583/10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), 583/8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583/12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);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584/3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; 1176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1176/2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); 1220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1220/2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);</w:t>
        <w:br/>
        <w:t>1224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1224/2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); 5124/8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5124/19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6" w:val="left"/>
        </w:tabs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Niezbędne dla dokonania budowy lub przebudowy innych dróg publicznych: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 leszczyński, gmina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 ewidencyjna: 301303_5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Obręb: 0006 Kąkolewo, dz. o nr. ewid.: 368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368/11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);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373/4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; 381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381/2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); 440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440/2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);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492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582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582/2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); 1176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1176/2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); 1224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1224/2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Niezbędne dla dokonania budowy lub przebudowy zjazdów: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 leszczyński, gmina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 ewidencyjna: 301303_5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Obręb: 0006 Kąkolewo, dz. o nr. ewid.: 1176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1176/2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0" w:line="319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Niezbędne do rozbiórki istniejących obiektów budowlanych nieprzewidzianych do dalszego</w:t>
        <w:br/>
        <w:t>użytkowania: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 leszczyński, gmina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 ewidencyjna: 301303_5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319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Obręb: 0006 Kąkolewo, dz. o nr. ewid.: 392 (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392/3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Jednocześnie informuję, że: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after="0" w:line="360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art. 11d ust. 9 i 10 specustawy, z dniem zawiadomienia o wszczęciu postępowania</w:t>
        <w:br/>
        <w:t>w sprawie wydania decyzji o zezwoleniu na realizację inwestycji drogowej, nieruchomości</w:t>
        <w:br/>
        <w:t>stanowiące własność Skarbu Państwa bądź jednostek samorządu terytorialnego, objęte</w:t>
        <w:br/>
        <w:t>wnioskiem o wydanie decyzji o zezwoleniu na realizację inwestycji drogowej, nie mogą być</w:t>
        <w:br/>
        <w:t>przedmiotem obrotu w rozumieniu przepisów o gospodarce nieruchomościami. Czynność</w:t>
        <w:br/>
        <w:t>prawna dokonana z naruszeniem powyższego zakazu jest nieważna;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after="0" w:line="360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art. 11d ust. 5 specustawy, wojewoda wysyła zawiadomienie o wszczęciu</w:t>
        <w:br/>
        <w:t>postępowania w sprawie wydania decyzji o zezwoleniu na realizację inwestycji drogowej</w:t>
        <w:br/>
        <w:t>wnioskodawcy, właścicielom lub użytkownikom wieczystym nieruchomości objętych</w:t>
        <w:br/>
        <w:t>wnioskiem o wydanie tej decyzji na adres wskazany w katastrze nieruchomości,</w:t>
        <w:br/>
        <w:t>oraz zawiadamia pozostałe strony w drodze obwieszczeń, w urzędzie wojewódzkim, a także</w:t>
        <w:br/>
        <w:t>w urzędach gmin właściwych ze względu na przebieg drogi, w urzędowych publikatorach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teleinformatycznych - Biuletynie Informacji Publicznej tych urzędów i w prasie lokalnej.</w:t>
        <w:br/>
        <w:t>Zgodnie z art. 49 § 2 ustawy z dnia 14 czerwca 1960 r. - Kodeks postępowania</w:t>
        <w:br/>
        <w:t>administracyjnego (Dz.U. z 2021 r. poz. 735 ze zm.) - zwanej dalej k.p.a., zawiadomienie</w:t>
        <w:br/>
        <w:t>poprzez obwieszczenie uważa się za dokonane po upływie czternastu dni od dnia, w którym</w:t>
        <w:br/>
        <w:t xml:space="preserve">nastąpiło publiczne obwieszczenie, tj.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od 12 września 2022 r.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3" w:val="left"/>
        </w:tabs>
        <w:bidi w:val="0"/>
        <w:spacing w:before="0" w:after="0" w:line="360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toku postępowania strony oraz ich przedstawiciele i pełnomocnicy mają obowiązek</w:t>
        <w:br/>
        <w:t>zawiadomić Wojewodę Wielkopolskiego o każdej zmianie swojego adresu;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3" w:val="left"/>
          <w:tab w:pos="6595" w:val="left"/>
        </w:tabs>
        <w:bidi w:val="0"/>
        <w:spacing w:before="0" w:after="0" w:line="360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art. 10 k.p.a., strony niniejszego postępowania mogą się zapoznać z aktami</w:t>
        <w:br/>
        <w:t>sprawy w Wielkopolskim Urzędzie Wojewódzkim w Poznaniu, Wydział Infrastruktury</w:t>
        <w:br/>
        <w:t>i Rolnictwa, al. Niepodległości 16/18. Wizyta klientów w Urzędzie odbywa się po uprzednim</w:t>
        <w:br/>
        <w:t>uzgodnieniu terminu i godziny przyjęcia. W przedmiotowej sprawie można się kontaktować</w:t>
        <w:br/>
        <w:t>z pracownikami WUW w Poznaniu telefonicznie od poniedziałku do piątku w godzinach</w:t>
        <w:br/>
        <w:t>8.30-15.00 lub mailowo (tel. 61-854-10-81,</w:t>
        <w:tab/>
        <w:t>61-854-14-67, e-mail: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40" w:right="0" w:firstLine="0"/>
        <w:jc w:val="both"/>
      </w:pPr>
      <w:r>
        <w:fldChar w:fldCharType="begin"/>
      </w:r>
      <w:r>
        <w:rPr/>
        <w:instrText> HYPERLINK "mailto:anna.szyszka@poznan.uw.gov.pl"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anna.szyszka@poznan.uw.gov.pl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lub </w:t>
      </w:r>
      <w:r>
        <w:fldChar w:fldCharType="begin"/>
      </w:r>
      <w:r>
        <w:rPr/>
        <w:instrText> HYPERLINK "mailto:kwasik@poznan.uw.gov.pl"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kwasik@poznan.uw.gov.pl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), oraz składać ewentualne</w:t>
        <w:br/>
        <w:t xml:space="preserve">wnioski, uwagi lub zastrzeżenia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 3 października 2022 r.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3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niniejsze obwieszczenie stanowi dopełnienie obowiązku wynikającego z art. 10 k.p.a.,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3" w:val="left"/>
        </w:tabs>
        <w:bidi w:val="0"/>
        <w:spacing w:before="0" w:after="480" w:line="319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mapa przedstawiająca przebieg inwestycji dostępna będzie </w:t>
      </w:r>
      <w:r>
        <w:rPr>
          <w:b/>
          <w:bCs/>
          <w:color w:val="080101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od 12 września 2022 r.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stronie internetowej: </w:t>
      </w:r>
      <w:r>
        <w:fldChar w:fldCharType="begin"/>
      </w:r>
      <w:r>
        <w:rPr/>
        <w:instrText> HYPERLINK "http://www.poznan.uw.gov.pl"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www.poznan.uw.gov.pl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 zakładce Ogłoszenia/Obwieszczenia.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 up. Wojewody Wielkopolskiego</w:t>
        <w:br/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Paulina Iracka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Zastępca Kierownika Oddziału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Inwestycji i Zagospodarowania Przestrzennego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Dokument podpisany kwalifikowanym podpisem elektronicznym.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1388" w:right="1385" w:bottom="1236" w:left="1380" w:header="96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10214610</wp:posOffset>
              </wp:positionV>
              <wp:extent cx="149225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1.25pt;margin-top:804.30000000000007pt;width:11.75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10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2A3988"/>
      <w:w w:val="50"/>
      <w:sz w:val="18"/>
      <w:szCs w:val="18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Tekst treści (2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  <w:spacing w:line="206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2A3988"/>
      <w:w w:val="50"/>
      <w:sz w:val="18"/>
      <w:szCs w:val="18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2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Tekst treści (2)"/>
    <w:basedOn w:val="Normal"/>
    <w:link w:val="CharStyle8"/>
    <w:pPr>
      <w:widowControl w:val="0"/>
      <w:shd w:val="clear" w:color="auto" w:fill="auto"/>
      <w:spacing w:after="60" w:line="360" w:lineRule="auto"/>
      <w:ind w:firstLine="3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- 7820.5.2022.2 - obwieszczenie_2022 PI</dc:title>
  <dc:subject/>
  <dc:creator>anna.szyszka</dc:creator>
  <cp:keywords/>
</cp:coreProperties>
</file>