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Poznań, dnia 5 maja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WA-0954/131/2/2021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6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6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Miasta i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39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załączeniu przesyłam uchwałę Składu Orzekającego Regionalnej Izby Obrachunkowej w</w:t>
        <w:br/>
        <w:t>Poznaniu w sprawie wyrażenia opinii o sprawozdaniu z wykonania budżetu Gminy Osieczna za rok</w:t>
        <w:br/>
        <w:t>2020 wraz z informacją o stanie mienia jednostki samorządu terytorialnego i objaśnieniami.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wiadomości: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35D34299-DC4F-4986-B6C8-24610F33B5E2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SO-12/0954/251/2021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29 kwietnia 2021 r.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1140" w:right="0" w:hanging="114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sprawozdaniu z wykonania budżetu Gminy Osieczna za rok 2020</w:t>
        <w:br/>
        <w:t>wraz z informacją o stanie mienia jednostki samorządu terytorialnego i objaśnieniami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16/2021 Prezesa Regionalnej Izby Obrachunkowej w Poznaniu z dnia 01 kwietnia 2021 r. ze zm. w</w:t>
        <w:br/>
        <w:t>osobach: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2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5 i art. 19 ust. 2 ustawy z dnia 7 października 1992 r. o regionalnych</w:t>
        <w:br/>
        <w:t>izbach obrachunkowych (Dz. U. z 2019 r., poz. 2137) w związku z art. 267 ustawy z dnia 27 sierpnia</w:t>
        <w:br/>
        <w:t>2009 r. o finansach publicznych (Dz. U. 2021 poz. 305), wyraża o przedłożonym przez Burmistrza</w:t>
        <w:br/>
        <w:t>Gminy Osieczna sprawozdaniu z wykonania budżetu za 2020 rok oraz informacji o stanie mienia</w:t>
        <w:br/>
        <w:t>jednostki samorządu terytorialnego i objaśnieniami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Przedmiotem badania stanowiącym podstawę do wydania niniejszej opinii było sprawozdanie</w:t>
        <w:br/>
        <w:t>z wykonania budżetu Gminy Osieczna za 2020 rok wraz z informacją o stanie mienia jednostki</w:t>
        <w:br/>
        <w:t>samorządu terytorialnego i objaśnieniami przedłożone tut. Izbie w systemie e-Nadzór w dniu 31 marca</w:t>
        <w:br/>
        <w:t>2021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przed wydaniem opinii zapoznał się także z uchwałą budżetową wg stanu na</w:t>
        <w:br/>
        <w:t>dzień 31 grudnia 2020 r. (po zm.), uchwałą w sprawie Wieloletniej Prognozy Finansowej (po zm.) na</w:t>
        <w:br/>
        <w:t>lata 2020-2028 oraz ze sprawozdaniami budżetowymi Jednostki za 2020 rok.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4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Przedłożone sprawozdanie zawiera część opisową, stanowiącą objaśnienia do sprawozdania</w:t>
        <w:br/>
        <w:t>z wykonania budżetu oraz część tabelaryczną.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/>
        <w:ind w:left="540" w:right="0" w:hanging="260"/>
        <w:jc w:val="both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331" w:right="1175" w:bottom="898" w:left="1298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sprawozdania zawarto informację o planowanych i wykonanych dochodach,</w:t>
        <w:br/>
        <w:t>wydatkach, przychodach, rozchodach i wyniku budżetu oraz zobowiązaniach. Omówiono</w:t>
        <w:br/>
        <w:t>wykonanie dochodów prezentując ich wykonanie z poszczególnych źródeł z podziałem na</w:t>
        <w:br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6" w:val="left"/>
        </w:tabs>
        <w:bidi w:val="0"/>
        <w:spacing w:before="0" w:after="0"/>
        <w:ind w:left="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bieżące i majątkowe z omówieniem dochodów własnych, subwencji, środków</w:t>
        <w:br/>
        <w:t>pochodzących ze źródeł zagranicznych oraz dotacji z budżetu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Omówiono realizację wydatków w poszczególnych działach i rozdziałach klasyfikacji</w:t>
        <w:br/>
        <w:t>budżetowej, z uwzględnieniem wydatków bieżących i majątkowych. Omówiono także</w:t>
        <w:br/>
        <w:t>poszczególne załączniki do uchwały budżetowej.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/>
        <w:ind w:left="50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tabelaiycznej przedstawiono plan i wykonanie dochodów i wydatków w pełnej</w:t>
        <w:br/>
        <w:t>szczegółowości klasyfikacji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odrębnych załącznikach zaprezentowano także m.in. wykonanie przychodów i rozchodów</w:t>
        <w:br/>
        <w:t>budżetu, wydatki majątkowe zaplanowane do realizacji i wykonane w roku 2020, zestawienie</w:t>
        <w:br/>
        <w:t>dotacji udzielonych z budżetu Gminy, oraz wydatków realizowanych w ramach funduszu</w:t>
        <w:br/>
        <w:t>sołeckiego, dochody z tytułu opłat za wydawanie zezwoleń na sprzedaż napojów alkoholowych</w:t>
        <w:br/>
        <w:t>oraz wydatki związane z realizacją gminnego programu profilaktyki i rozwiązywania problemów</w:t>
        <w:br/>
        <w:t>alkoholowych oraz gminnego programu przeciwdziałania narkomanii, dochody z tytułu opłat i kar</w:t>
        <w:br/>
        <w:t>za korzystanie ze środowiska oraz wydatki nimi sfinansowane, wykonanie przychodów i kosztów</w:t>
        <w:br/>
        <w:t>samorządowych zakładów budżetowych.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</w:tabs>
        <w:bidi w:val="0"/>
        <w:spacing w:before="0" w:after="0"/>
        <w:ind w:left="50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sprawozdaniu (w części tabelarycznej i opisowej) przedstawiono zmiany w planie wydatków na</w:t>
        <w:br/>
        <w:t>realizację programów finansowanych z udziałem środków, o których mowa w art. 5 ust. 1 pkt 2 i</w:t>
        <w:br/>
        <w:t>3 uofp, dokonane w trakcie roku budżetowego oraz przedstawiono stopień zaawansowania</w:t>
        <w:br/>
        <w:t>realizacji programów wieloletnich zapisanych w Wieloletniej Prognozie Finansowej.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380"/>
        <w:ind w:left="50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ocenie Składu Orzekającego przedłożone sprawozdanie z wykonania budżetu za 2020 rok</w:t>
        <w:br/>
        <w:t>spełnia wymogi określone w art. 267 ust. 1 pkt 1 oraz art. 269 ustawy o finansach publicznych.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2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Analiza porównawcza prezentowanych danych w sprawozdaniu z wykonania budżetu z kwotami</w:t>
        <w:br/>
        <w:t>planowanymi w budżecie na 2020 rok oraz danymi zawartymi w przedłożonych sprawozdaniach</w:t>
        <w:br/>
        <w:t>budżetowych wykazała zgodność kwot planowanych i wykonanych w dokumentach</w:t>
        <w:br/>
        <w:t>przedłożonych tut. Izbie, za wyjątkiem uchybień wskazanych w punkcie VI.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Na podstawie przeprowadzonego badania Skład Orzekający ustalił, że budżet za rok 2020 został</w:t>
        <w:br/>
        <w:t>wykonany z nadwyżką budżetową w kwocie 16.841.102,63 zł, bowiem: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6" w:val="left"/>
        </w:tabs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wykonano w wysokości 67.023.615,66 zł, tj. 96,15%,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6" w:val="left"/>
        </w:tabs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wykonano w wysokości 50.182.513,03 zł, tj. 73,73 %.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bieżące wykonano w kwocie 48.579.542,01 zł i wydatki bieżące w kwocie</w:t>
        <w:br/>
        <w:t>38.497.553,32 zł, co spełnia wymóg z art. 242 ust. 2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zrealizowano w kwocie 2.865.993,55 zł, w tym z tytułu wolnych środków, o których</w:t>
        <w:br/>
        <w:t>mowa w art. 217 ust. 2 pkt. 6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okresie sprawozdawczym spłacono raty z zaciągniętych pożyczek i kredytów w wysokości</w:t>
        <w:br/>
        <w:t>4.339.925,04 zł, co stanowi 96,26 % planowanych rozchodów z tego tytułu (4.508.360,07 zł).</w:t>
        <w:br/>
        <w:t>Różnica między planowaną kwotą rozchodów a wykonaną w wysokości 168.435,03 zł wynika 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faktu umorzenia części pożyczki na realizację przedsięwzięcia pn. „Termomodemizacja obiektów</w:t>
        <w:br/>
        <w:t>szkolnych w Osiecznej i Swierczynie” z Wojewódzkiego Funduszu Ochrony Środowiska i</w:t>
        <w:br/>
        <w:t>Gospodarki Wodnej w Poznaniu.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Rb-NDS o nadwyżce/deficycie za okres od początku roku do</w:t>
        <w:br/>
        <w:t>dnia 31 grudnia roku 2020 oraz informacje zawarte w sprawozdaniu (str. 51).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koniec 2020 roku Jednostka posiadała zobowiązania w kwocie 7.549.206,29 zł (z tytułu</w:t>
        <w:br/>
        <w:t>pożyczek i kredytów). Kwota ta stanowi 11,26 % wykonanych dochodów.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5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Rb-Z o stanie zobowiązań według tytułów dłużnych oraz</w:t>
        <w:br/>
        <w:t>poręczeń i gwarancji wg stanu na koniec IV kwartału 2020 roku.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7" w:val="left"/>
        </w:tabs>
        <w:bidi w:val="0"/>
        <w:spacing w:before="0" w:after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dochodów z tytułu opłat za wydawanie zezwoleń na sprzedaż napojów alkoholowych</w:t>
        <w:br/>
        <w:t>oraz wydatków związanych z realizacją gminnego programu profilaktyki i rozwiązywania</w:t>
        <w:br/>
        <w:t>problemów alkoholowych oraz gminnego programu przeciwdziałania narkomanii obrazuje</w:t>
        <w:br/>
        <w:t>poniższa tabela:</w:t>
      </w:r>
    </w:p>
    <w:tbl>
      <w:tblPr>
        <w:tblOverlap w:val="never"/>
        <w:jc w:val="right"/>
        <w:tblLayout w:type="fixed"/>
      </w:tblPr>
      <w:tblGrid>
        <w:gridCol w:w="1493"/>
        <w:gridCol w:w="1354"/>
        <w:gridCol w:w="1358"/>
        <w:gridCol w:w="1416"/>
        <w:gridCol w:w="1344"/>
        <w:gridCol w:w="1363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[zł]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[zł]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Pian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75618</w:t>
              <w:br/>
              <w:t>(§ 0480)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140.000,00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158.813,06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256.925,00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160.405,04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257.925,00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160.405,04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8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18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ustawy z dnia 26 października 1982 r. o wychowaniu w trzeźwości i</w:t>
        <w:br/>
        <w:t xml:space="preserve">przeciwdziałaniu alkoholizmowi (Dz. U. z 2019 r. poz. 2137)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„Dochody z opłat za zezwolenia</w:t>
        <w:br/>
        <w:t>wydane na podstawie art. 18 lub art. 18‘ oraz dochody z opłat określonych w art. II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wykorzystywane będą na realizację: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after="0"/>
        <w:ind w:left="1200" w:right="0" w:hanging="3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gminnych programów profilaktyki i rozwiązywania problemów alkoholowych oraz</w:t>
        <w:br/>
        <w:t>Gminnych Programów, o których mowa w art. 10 ust. 2 ustawy z dnia 29 lipca 2005 r. o</w:t>
        <w:br/>
        <w:t>przeciwdziałaniu narkomanii,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after="0"/>
        <w:ind w:left="1200" w:right="0" w:hanging="3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zadań realizowanych przez placówkę wsparcia dziennego, o której mowa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o</w:t>
        <w:br/>
        <w:t>wspieraniu rodziny i systemie pieczy zastępczej, w ramach gminnego programu</w:t>
        <w:br/>
        <w:t>profilaktyki i rozwiązywania problemów alkoholowych oraz Gminnych Programów, o</w:t>
        <w:br/>
        <w:t>których mowa w art. 10 ust. 2 ustawy z dnia 29 lipca 2005 r. o przeciwdziałaniu</w:t>
        <w:br/>
        <w:t>narkomanii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820"/>
        <w:jc w:val="both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- i nie mogą b\ć przeznaczane na inne cele".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wyniku analizy sprawozdania z wykonania planu wydatków budżetowych Rb-28S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2" w:val="left"/>
        </w:tabs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stwierdzono przypadków przekroczenia planowanych wydatków budżetowych,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52" w:val="left"/>
        </w:tabs>
        <w:bidi w:val="0"/>
        <w:spacing w:before="0" w:after="0"/>
        <w:ind w:left="8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stwierdzono, że suma wykonania wydatków i zobowiązań ogółem przekracza plan w budżecie</w:t>
        <w:br/>
        <w:t>(z pominięciem paragrafów wynagrodzeń i pochodnych od wynagrodzeń), i tak:</w:t>
      </w:r>
    </w:p>
    <w:tbl>
      <w:tblPr>
        <w:tblOverlap w:val="never"/>
        <w:jc w:val="center"/>
        <w:tblLayout w:type="fixed"/>
      </w:tblPr>
      <w:tblGrid>
        <w:gridCol w:w="1128"/>
        <w:gridCol w:w="1099"/>
        <w:gridCol w:w="1114"/>
        <w:gridCol w:w="1109"/>
        <w:gridCol w:w="1114"/>
        <w:gridCol w:w="1210"/>
        <w:gridCol w:w="1171"/>
        <w:gridCol w:w="1234"/>
      </w:tblGrid>
      <w:tr>
        <w:trPr>
          <w:trHeight w:val="9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zobowiązania</w:t>
              <w:br/>
              <w:t>(5+6)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przekroczenie</w:t>
              <w:br/>
              <w:t>(7-4)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228.472,00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225.419,19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8.586,16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234.005,35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5.533,35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60.593,00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58.912,40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4.620,89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63.533,29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2.940,29</w:t>
            </w:r>
          </w:p>
        </w:tc>
      </w:tr>
      <w:tr>
        <w:trPr>
          <w:trHeight w:val="269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8.473,64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uchwale 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XIV.100.2019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Rada Miejska Gminy Osieczna z dnia 30 grudnia 2019 roku w sprawie</w:t>
        <w:br/>
        <w:t>uchwały budżetowej na 2020 rok (ze zmianami):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98" w:val="left"/>
        </w:tabs>
        <w:bidi w:val="0"/>
        <w:spacing w:before="0" w:after="0" w:line="401" w:lineRule="auto"/>
        <w:ind w:left="56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określiła kwotę 1.000.000,00 zł, do której Burmistrz może samodzielnie zaciągać zobowiązania</w:t>
        <w:br/>
        <w:t>(§ U),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98" w:val="left"/>
        </w:tabs>
        <w:bidi w:val="0"/>
        <w:spacing w:before="0" w:after="360"/>
        <w:ind w:left="56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upoważniła Burmistrza do przekazania uprawnień kierownikom jednostek organizacyjnych do</w:t>
        <w:br/>
        <w:t>zaciągania zobowiązań z tytułu umów, których realizacja w roku budżetowym i latach następnych</w:t>
        <w:br/>
        <w:t>jest niezbędna do zapewnienia ciągłości działania jednostki i z których wynikające płatności</w:t>
        <w:br/>
        <w:t>wykraczają poza rok budżetowy (§10 pkt 3).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18" w:val="left"/>
        </w:tabs>
        <w:bidi w:val="0"/>
        <w:spacing w:before="0" w:after="28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przedłożonego sprawozdania wynika, że w roku 2020 Gmina Osieczna otrzymała środki</w:t>
        <w:br/>
        <w:t>finansowe z Rządowego Funduszu Inwestycji Lokalnych (RFIL) w wysokości 1.735.074,00 zł</w:t>
        <w:br/>
        <w:t>(plan i wykonanie), co zostało wykazane w sprawozdaniu Rb-27S „Sprawozdanie z wykonania</w:t>
        <w:br/>
        <w:t>planu dochodów budżetowych za okres od początku roku do dnia 31 grudnia roku 2020” w dziale</w:t>
        <w:br/>
        <w:t>758, rozdziale 75816, § 6290. Otrzymane środki planowano przeznaczyć na realizację zadania pn.</w:t>
        <w:br/>
        <w:t>„Budowa sieci kanalizacji sanitarnej oraz wodociągowej w m. Łoniewo i Osieczna (...)”.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18" w:val="left"/>
        </w:tabs>
        <w:bidi w:val="0"/>
        <w:spacing w:before="0" w:after="240" w:line="276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stwierdza, że w niżej wymienionych podziałkach klasyfikacji budżetowej</w:t>
        <w:br/>
        <w:t>poniesione zostały wydatki związane z wypłatą odsetek:</w:t>
      </w:r>
    </w:p>
    <w:tbl>
      <w:tblPr>
        <w:tblOverlap w:val="never"/>
        <w:jc w:val="center"/>
        <w:tblLayout w:type="fixed"/>
      </w:tblPr>
      <w:tblGrid>
        <w:gridCol w:w="950"/>
        <w:gridCol w:w="936"/>
        <w:gridCol w:w="931"/>
        <w:gridCol w:w="3706"/>
        <w:gridCol w:w="1080"/>
        <w:gridCol w:w="1373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naruszeniem</w:t>
              <w:br/>
              <w:t>procedur, o których mowa w art. 184 ustawy,</w:t>
              <w:br/>
              <w:t>pobranych nienależnie lub w nadmiernej</w:t>
              <w:br/>
              <w:t>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38,00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naruszeniem</w:t>
              <w:br/>
              <w:t>procedur, o których mowa w art. 184 ustawy,</w:t>
              <w:br/>
              <w:t>pobranych nienależnie lub w nadmiernej</w:t>
              <w:br/>
              <w:t>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593,67</w:t>
            </w:r>
          </w:p>
        </w:tc>
      </w:tr>
      <w:tr>
        <w:trPr>
          <w:trHeight w:val="12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naruszeniem</w:t>
              <w:br/>
              <w:t>procedur, o których mowa w art. 184 ustawy,</w:t>
              <w:br/>
              <w:t>pobranych nienależnie lub w nadmiernej</w:t>
              <w:br/>
              <w:t>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245,48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Odnośnie wyżej wskazanych odsetek, kar i odszkodowań Burmistrz na str. 81 sprawozdania zawarł</w:t>
        <w:br/>
        <w:t>informacje w odniesieniu do: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4" w:val="left"/>
        </w:tabs>
        <w:bidi w:val="0"/>
        <w:spacing w:before="0" w:after="0"/>
        <w:ind w:left="7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855 rozdz. 85501 oraz 85502 § 4560 -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są to odsetki od dotacji wykorzystanej niezgodnie z</w:t>
        <w:br/>
        <w:t>przeznaczeniem lub pobranych nienależnie wypłaconych ze środków budżetu państwa świadczeń</w:t>
        <w:br/>
        <w:t>wychowawczych i rodzinnych (kwota 839,15 zł);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4" w:val="left"/>
        </w:tabs>
        <w:bidi w:val="0"/>
        <w:spacing w:before="0" w:after="360"/>
        <w:ind w:left="7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600 rozdz. 60016 § 4560 -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są to odsetki od zwrotu środków otrzymanych z Funduszu Dróg</w:t>
        <w:br/>
        <w:t>Samorządowych (kwota 38,00 zł).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VII. Skład Orzekający wskazuje, że w przedłożonym sprawozdaniu wystąpiły następujące</w:t>
        <w:br/>
        <w:t>nieprawidłowości: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4" w:val="left"/>
        </w:tabs>
        <w:bidi w:val="0"/>
        <w:spacing w:before="0" w:after="0"/>
        <w:ind w:left="7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 zestawieniem tabelarycznym przedstawiającym realizację wydatków (załącznik nr 2) w</w:t>
        <w:br/>
        <w:t>ramach wydatków bieżących wyszczególniono wydatki związane z realizacją zadań statutowych</w:t>
        <w:br/>
        <w:t>w planowanej kwocie 10.320.685,96 zł zamiast 12.254.438,96 zł.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4" w:val="left"/>
        </w:tabs>
        <w:bidi w:val="0"/>
        <w:spacing w:before="0" w:after="0"/>
        <w:ind w:left="7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6 pn. „Realizacja wydatków majątkowych na dzień 31.12.2020 roku” w dz. 855</w:t>
        <w:br/>
        <w:t>rozdz. 85505 w ramach § 6050 w zadaniu pn. „Gminny żłobek w Osiecznej” wyszczególniono</w:t>
        <w:br/>
        <w:t>wydatek niewygasający w kwocie 902,62 zł zamiast 902,92 zł, jak wynika z uchwały Rady</w:t>
        <w:br/>
        <w:t>Miejskiej Gminy Osieczna Nr XXIV/175/2020 z 30.12.2020 r. W zakresie powyższej kwoty</w:t>
        <w:br/>
        <w:t>błąd powielono również na stronie 84 sprawozdania.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Ponadto w załączniku tym wyszczególniono łączną kwotę wydatków inwestycyjnych jednostek</w:t>
        <w:br/>
        <w:t>budżetowych tj. § 6050 z kwotą wykonania 4.398.398,70 zł, podczas gdy ze sprawozdania</w:t>
        <w:br/>
        <w:t>budżetowego Rb-28S za IV kwartał wynika wartość 3.998.399,00 zł.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4" w:val="left"/>
        </w:tabs>
        <w:bidi w:val="0"/>
        <w:spacing w:before="0" w:after="360"/>
        <w:ind w:left="7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stronie 68 sprawozdania wystąpiła omyłka pisarska w zakresie kwoty zaległości z tytułu</w:t>
        <w:br/>
        <w:t>opłaty adiacenckiej tj. wpisano 66.967,07 zł zamiast 66.964,07 zł (w tabeli przedstawiającej</w:t>
        <w:br/>
        <w:t>zaległości z tytułu opłat wartość prawidłowa).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VIII. Informacja o stanie mienia jednostki samorządu terytorialnego została opracowana z zachowaniem</w:t>
        <w:br/>
        <w:t>postanowień art. 267 ust. 1 pkt. 3 ustawy o finansach publicznych. Wykaz mienia obrazuje stan</w:t>
        <w:br/>
        <w:t>majątku, jaki gmina posiada wraz ze zmianami od dnia złożenia poprzedniej informacji, jego</w:t>
        <w:br/>
        <w:t>wartość oraz dochody uzyskane z mienia w 2020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uwadze postanowiono jak w sentencji.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9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9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both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 w terminie 14 dni od</w:t>
        <w:br/>
        <w:t>daty jej doręczenia.</w:t>
      </w:r>
    </w:p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331" w:right="1175" w:bottom="898" w:left="1298" w:header="0" w:footer="470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5606415</wp:posOffset>
              </wp:positionH>
              <wp:positionV relativeFrom="page">
                <wp:posOffset>299720</wp:posOffset>
              </wp:positionV>
              <wp:extent cx="1014730" cy="3048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14730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Elektronicznie podpisany przez: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Danuta Szczepańska; RIO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dnia 30 kwietnia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1.44999999999999pt;margin-top:23.600000000000001pt;width:79.900000000000006pt;height:24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Elektronicznie podpisany przez: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Danuta Szczepańska; RIO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dnia 30 kwietnia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284480</wp:posOffset>
              </wp:positionV>
              <wp:extent cx="1017905" cy="3136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17905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Elektronicznie podpisany przez: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Zdzisław Drost; RIO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dnia 5 maja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0.5pt;margin-top:22.400000000000002pt;width:80.150000000000006pt;height:24.6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Elektronicznie podpisany przez: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Zdzisław Drost; RIO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dnia 5 maja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513080</wp:posOffset>
              </wp:positionV>
              <wp:extent cx="57785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9.75pt;margin-top:40.399999999999999pt;width:4.5499999999999998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5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Nagłówek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Tekst treści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after="380" w:line="360" w:lineRule="auto"/>
      <w:ind w:left="570" w:hanging="57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Tekst treści (2)"/>
    <w:basedOn w:val="Normal"/>
    <w:link w:val="CharStyle20"/>
    <w:pPr>
      <w:widowControl w:val="0"/>
      <w:shd w:val="clear" w:color="auto" w:fill="auto"/>
      <w:spacing w:after="320"/>
      <w:ind w:left="1220" w:hanging="1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docProps/core.xml><?xml version="1.0" encoding="utf-8"?>
<cp:coreProperties xmlns:cp="http://schemas.openxmlformats.org/package/2006/metadata/core-properties" xmlns:dc="http://purl.org/dc/elements/1.1/">
  <dc:title>S25C-921050510120</dc:title>
  <dc:subject/>
  <dc:creator/>
  <cp:keywords/>
</cp:coreProperties>
</file>