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Małgorzata Okrent; RIO</w:t>
        <w:br/>
        <w:t>dnia 4 lutego 2021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SO-10/0951/397/2021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6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4 lutego 2021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/>
        <w:ind w:left="0" w:right="0" w:firstLine="68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wyrażenia opinii o prawidłowości planowanej kwoty długu Gminy Osieczna.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(Dz.U. z 2019 r. poz. 2137) oraz art. 230 ust. 4 ustawy z dnia 27</w:t>
        <w:br/>
        <w:t>sierpnia 2009 r. o finansach publicznych (Dz. U. 2019 poz. 889, z późń. zm.) Skład Orzekający Regionalnej</w:t>
        <w:br/>
        <w:t>Izby Obrachunkowej w Poznaniu wyznaczony Zarządzeniem Nr 7/2021 Prezesa Regionalnej Izby</w:t>
        <w:br/>
        <w:t>Obrachunkowej w Poznaniu z dnia 1 lutego 2021 r.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7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Małgorzata Okrent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7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Katarzyna Kosmowska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wyraża, w oparciu o przyjęte przez Gminę Osieczna 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6" w:val="left"/>
        </w:tabs>
        <w:bidi w:val="0"/>
        <w:spacing w:before="0" w:after="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Wieloletnią Prognozę Finansową na lata 2021 -2028,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6" w:val="left"/>
        </w:tabs>
        <w:bidi w:val="0"/>
        <w:spacing w:before="0" w:after="360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uchwałę budżetową na 2021 r.,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prawidłowości planowanej kwoty długu, wynikającej z planowanych i zaciągniętych zobowiązań</w:t>
        <w:br/>
        <w:t>Jednostki.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30 grudnia 2020 roku Rada Miejska w Osiecznej podjęła uchwały: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06" w:val="left"/>
        </w:tabs>
        <w:bidi w:val="0"/>
        <w:spacing w:before="0" w:after="0" w:line="384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XXIV.173.2020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Wieloletniej Prognozy Finansowej Gminy Osieczna na lata 2021-2028,</w:t>
        <w:br/>
        <w:t>- Nr XXIV. 174.2020 w sprawie uchwały budżetowej na 2021 rok.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 sporządzona została na okres, na który zaciągnięto oraz planuje się zaciągnąć</w:t>
        <w:br/>
        <w:t>zobowiązania.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Prognoza, poza kwotą długu, wskazuje także: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8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2021-2028 relacje, o których mowa w art. 242 - 243 ustawy o finansach publicznych,</w:t>
        <w:br/>
        <w:t>- sposób sfinansowania spłaty długu.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analizy wyżej wskazanych uchwał Rady oraz sprawozdań Rb-Z sporządzonych wg</w:t>
        <w:br/>
        <w:t>stanu na dzień 31.12.2019 r. i 30.09.2020 r., Skład Orzekający ustalił, co następuje: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140" w:line="360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budżet roku 2021 i wieloletnia prognoza finansowa wykazują zgodność w zakresie wyniku budżetu</w:t>
        <w:br/>
        <w:t>i związanych z nim kwot przychodów i rozchodów oraz długu, co jest wymagane przepisem art. 229</w:t>
        <w:br/>
        <w:t>ustawy o finansach publicznych,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każdym roku objętym prognozą planowana kwota wydatków bieżących jest niższa od planowanej</w:t>
        <w:br/>
        <w:t>kwoty dochodów bieżących, co jest wymagane przepisem art. 242 ustawy o finansach publicznych,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kwota długu na dzień 31.12.2021 r. wyniesie 11.624.206,29 zł, przy czym najwyższy poziom</w:t>
        <w:br/>
        <w:t>długu Jednostka osiągnie w roku 2022, wówczas dług ukształtuje się na poziomie 12.024.206,29 zł,</w:t>
        <w:br/>
        <w:t>w kolejnych latach zadłużenie będzie się zmniejszało i w roku 2028 zostanie całkowicie spłacone,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przyjęty w prognozie kwoty długu sposób sfinansowania długu jest prawnie dopuszczalny,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340"/>
        <w:ind w:left="28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2021-2028 (w sytuacji osiągnięcia w poszczególnych latach zakładanych wielkości</w:t>
        <w:br/>
        <w:t>budżetowych) nie zostanie przekroczona relacja, o której mowa w art. 243 ustawy o finansach</w:t>
        <w:br/>
        <w:t>publicznych, co obrazuje poniższa tabela:</w:t>
      </w:r>
    </w:p>
    <w:tbl>
      <w:tblPr>
        <w:tblOverlap w:val="never"/>
        <w:jc w:val="center"/>
        <w:tblLayout w:type="fixed"/>
      </w:tblPr>
      <w:tblGrid>
        <w:gridCol w:w="821"/>
        <w:gridCol w:w="4066"/>
        <w:gridCol w:w="4070"/>
      </w:tblGrid>
      <w:tr>
        <w:trPr>
          <w:trHeight w:val="19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Relacja określona po lewej stronie nierówności we</w:t>
              <w:br/>
              <w:t>wzorze, o którym mowa w art. 243 ust. 1 ustawy (po</w:t>
              <w:br/>
              <w:t>uwzględnieniu zobowiązań związku</w:t>
              <w:br/>
              <w:t>współtworzonego przez jednostkę samorządu</w:t>
              <w:br/>
              <w:t>terytorialnego oraz po uwzględnieniu ustawowych</w:t>
              <w:br/>
              <w:t>wyłączeń* przypadających na dany rok w %</w:t>
              <w:br/>
              <w:t>Poz. 8.1 wpf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Dopuszczalny limit spłaty zobowiązań określony po</w:t>
              <w:br/>
              <w:t>prawej stronie nierówności we wzorze, o którym</w:t>
              <w:br/>
              <w:t>mowa w art. 243 ustaw, po uwzględnieniu</w:t>
              <w:br/>
              <w:t>ustawowych wyłączeń*, obliczony w oparciu o plan</w:t>
              <w:br/>
              <w:t>III kwartału roku poprzedzającego pierwszy rok</w:t>
              <w:br/>
              <w:t>prognozy (wskaźnik ustalony w oparciu o średnią</w:t>
              <w:br/>
              <w:t>arytmetyczną z poprzednich lat) w %</w:t>
              <w:br/>
              <w:t>Poz. 8.3 wpf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3,93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25,92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23,99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22,18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25,49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9,58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25,50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24,49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23,80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2,73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25,51</w:t>
            </w: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♦Jednostka nie stosuje wyłączeń</w:t>
      </w:r>
    </w:p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8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8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86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Małgorzata Okrent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uchwały Składu Orzekającego służy odwołanie do Kolegium Izby w terminie 14 dni od daty jej</w:t>
        <w:br/>
        <w:t>doręczenia.</w:t>
      </w:r>
    </w:p>
    <w:sectPr>
      <w:footnotePr>
        <w:pos w:val="pageBottom"/>
        <w:numFmt w:val="decimal"/>
        <w:numRestart w:val="continuous"/>
      </w:footnotePr>
      <w:pgSz w:w="11900" w:h="16840"/>
      <w:pgMar w:top="604" w:right="1365" w:bottom="1333" w:left="1237" w:header="176" w:footer="90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Tekst treści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80" w:line="379" w:lineRule="auto"/>
      <w:ind w:left="76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60" w:line="37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220" w:line="377" w:lineRule="auto"/>
      <w:ind w:firstLine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after="60" w:line="37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Tekst treści (2)"/>
    <w:basedOn w:val="Normal"/>
    <w:link w:val="CharStyle15"/>
    <w:pPr>
      <w:widowControl w:val="0"/>
      <w:shd w:val="clear" w:color="auto" w:fill="auto"/>
      <w:spacing w:after="400" w:line="257" w:lineRule="auto"/>
      <w:ind w:left="1080" w:hanging="10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S25C-921020812000</dc:title>
  <dc:subject/>
  <dc:creator/>
  <cp:keywords/>
</cp:coreProperties>
</file>