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Elektronicznie podpisany przez:</w:t>
        <w:br/>
        <w:t>Małgorzata Okrent; RIO</w:t>
        <w:br/>
        <w:t>dnia 4 lutego 2021 r.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8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Uchwała Nr SO-10/0951/396/2021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 w:line="38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 Regionalnej Izby Obrachunkowej w Poznaniu</w:t>
        <w:br/>
        <w:t>z dnia 4 lutego 2021 roku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/>
        <w:ind w:left="0" w:right="0" w:firstLine="32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sprawie: wyrażenia opinii o możliwości sfinansowania przez Gminę Osieczna deficytu budżetu.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 w:line="379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Działając na podstawie art. 13 pkt 10 i art. 19 ust. 2 ustawy z dnia 7 października 1992 r.</w:t>
        <w:br/>
        <w:t>o regionalnych izbach obrachunkowych (Dz. U. z 2019 r. poz. 2137) oraz art. 246 ust. 1 i 3 ustawy z dnia</w:t>
        <w:br/>
        <w:t>27 sierpnia 2009 r. o finansach publicznych (Dz. U. z 2019 r. poz. 869, z późn. zm.) Skład Orzekający</w:t>
        <w:br/>
        <w:t>Regionalnej Izby Obrachunkowej w Poznaniu wyznaczony Zarządzeniem Nr 7/2021 Prezesa Regionalnej</w:t>
        <w:br/>
        <w:t>Izby Obrachunkowej w Poznaniu z dnia 1 lutego 2021 roku ze zm. w osobach: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958" w:val="left"/>
        </w:tabs>
        <w:bidi w:val="0"/>
        <w:spacing w:before="0" w:after="0" w:line="37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Przewodnicząca:</w:t>
        <w:tab/>
        <w:t>Małgorzata Okrent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958" w:val="left"/>
        </w:tabs>
        <w:bidi w:val="0"/>
        <w:spacing w:before="0" w:after="0" w:line="37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Członkowie:</w:t>
        <w:tab/>
        <w:t>Beata Rodewald-Łaszkowska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 w:line="374" w:lineRule="auto"/>
        <w:ind w:left="2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Katarzyna Kosmowska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 w:line="37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 dokonaniu analizy uchwały Nr XXIV. 174.2020 Rady Miejskiej Gminy Osieczna z dnia 30 grudnia 2020 r.</w:t>
        <w:br/>
        <w:t>w sprawie uchwały budżetowej Gminy Osieczna na 2021 rok, wyraża: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opinię pozytywną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 w:line="37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możliwości sfinansowania przez Gminę Osieczna deficytu budżetu.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UZASADNIENIE</w:t>
      </w:r>
      <w:bookmarkEnd w:id="4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74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Analizując możliwość sfinansowania w 2021 roku przez Gminę Osieczna deficytu budżetu Skład</w:t>
        <w:br/>
        <w:t>Orzekający ustalił, co następuje: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7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uchwale budżetowej na 2021 rok ustalone zostały: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74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dochody w kwocie 47.223.622,40 zł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74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wydatki w kwocie 53.033.777,44 zł.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7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Deficyt budżetu rozumiany jako różnica pomiędzy dochodami a wydatkami wynosi 5.810.155,04 zł.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74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§ 3 uchwały budżetowej wskazano, że deficyt budżetu zostanie sfinansowany przychodami z tytułu</w:t>
        <w:br/>
        <w:t>pożyczek i kredytów oraz przychodami z niewykorzystanych środków pieniężnych na rachunku bieżącym</w:t>
        <w:br/>
        <w:t>budżetu wynikających z rozliczenia dochodów i wydatków nimi finansowanych związanych ze szczególnymi</w:t>
        <w:br/>
        <w:t>zasadami wykonywania budżetu określonymi w odrębnych ustawach, a zatem wskazano prawnie</w:t>
        <w:br/>
        <w:t>dopuszczalne źródła sfinansowania deficytu.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 w:line="374" w:lineRule="auto"/>
        <w:ind w:left="0" w:right="0" w:firstLine="68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602" w:right="1317" w:bottom="602" w:left="1208" w:header="174" w:footer="174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postanowieniach uchwały (§ 4) wykazano łączną kwotę przychodów w wysokości 6.610.155,04 zł</w:t>
        <w:br/>
        <w:t>oraz łączną kwotę rozchodów w wysokości 800.000,00 zł. W załączniku Nr 10 - „Zestawienie przychodów 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rozchodów budżetu Gminy Osieczna na 2021 rok” przedstawione zostały przychody i rozchody budżetu wg</w:t>
        <w:br/>
        <w:t>tytułów (wg paragrafów klasyfikacji budżetowej). Na przychody budżetu składają się: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6" w:val="left"/>
        </w:tabs>
        <w:bidi w:val="0"/>
        <w:spacing w:before="0" w:after="0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przychody jednostek samorządu terytorialnego z niewykorzystanych środków pieniężnych na rachunku</w:t>
        <w:br/>
        <w:t>bieżącym budżetu, wynikających z rozliczenia dochodów i wydatków nimi finansowanych związanych</w:t>
        <w:br/>
        <w:t>ze szczególnymi zasadami wykonywania budżetu określonymi w odrębnych ustawach (§ 905) w kwocie</w:t>
        <w:br/>
        <w:t>1.735.155,04 zł,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6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przychody z zaciągniętych pożyczek i kredytów na rynku krajowym (§ 952) w kwocie 4.875.000,00 zł.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Planowana w roku budżetowym 2021 spłata zobowiązań Jednostki z tytułu spłaty rat kredytów</w:t>
        <w:br/>
        <w:t>i pożyczek (800.000,00 zł) wraz z należnymi odsetkami (361.900,00 zł) i wydatkami z tytułu poręczeń</w:t>
        <w:br/>
        <w:t>i gwarancji (150.000,00 zł) wyniesie 1.311.900,00 zł, co stanowi 3,93 % prognozowanych dochodów</w:t>
        <w:br/>
        <w:t>bieżących pomniejszonych o dotacje na cele bieżące, przy dopuszczalnym wskaźniku spłaty zobowiązań</w:t>
        <w:br/>
        <w:t>wynoszącym 25,92 %.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Zatem odnosząc się do wymogów dotyczących spłaty zobowiązań Jednostki wynikających z art. 243</w:t>
        <w:br/>
        <w:t>ustawy o finansach publicznych wskazać należy, że powinna zostać zachowana relacja, o której mowa w tym</w:t>
        <w:br/>
        <w:t>przepisie.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Planowane do zaciągnięcia w 2021 roku oraz w kolejnych latach kredyty i pożyczki długoterminowe</w:t>
        <w:br/>
        <w:t>będą spłacane w latach następnych, a zatem dla oceny realności ich pozyskania niezbędne jest ustalenie czy</w:t>
        <w:br/>
        <w:t>w latach przyszłych, tj. w okresie spłaty zobowiązań Jednostki, zostanie zachowana relacja, o której mowa w</w:t>
        <w:br/>
        <w:t>art. 243 ustawy o finansach publicznych. Uchwała w sprawie Wieloletniej Prognozy Finansowej Gminy</w:t>
        <w:br/>
        <w:t>wykazuje zachowanie ww. wskaźnika we wszystkich latach spłaty zobowiązań.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72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Mając powyższe na względzie postanowiono jak w sentencji.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7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/>
        <w:ind w:left="0" w:right="74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720"/>
        <w:ind w:left="69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Małgorzata Okrent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210" w:val="left"/>
        </w:tabs>
        <w:bidi w:val="0"/>
        <w:spacing w:before="0" w:after="0" w:line="240" w:lineRule="auto"/>
        <w:ind w:left="0" w:right="0" w:firstLine="0"/>
        <w:jc w:val="both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Pouczenie:</w:t>
        <w:tab/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Od niniejszej uchwały Składu Orzekającego służy odwołanie do Kolegium Izby w terminie 14 dni od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20" w:right="0" w:firstLine="0"/>
        <w:jc w:val="both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daty jej doręczenia.</w:t>
      </w: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1705" w:right="1317" w:bottom="1705" w:left="1195" w:header="0" w:footer="1277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3717925</wp:posOffset>
              </wp:positionH>
              <wp:positionV relativeFrom="page">
                <wp:posOffset>680085</wp:posOffset>
              </wp:positionV>
              <wp:extent cx="52070" cy="8826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2.75pt;margin-top:53.550000000000004pt;width:4.0999999999999996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5">
    <w:name w:val="Tekst treści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Nagłówek #1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Nagłówek lub stopka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auto"/>
      <w:spacing w:after="480" w:line="360" w:lineRule="auto"/>
      <w:ind w:left="7660" w:firstLine="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  <w:spacing w:line="377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Nagłówek #1"/>
    <w:basedOn w:val="Normal"/>
    <w:link w:val="CharStyle8"/>
    <w:pPr>
      <w:widowControl w:val="0"/>
      <w:shd w:val="clear" w:color="auto" w:fill="auto"/>
      <w:spacing w:after="360" w:line="374" w:lineRule="auto"/>
      <w:ind w:firstLine="16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Nagłówek lub stopka (2)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>S25C-921020811590</dc:title>
  <dc:subject/>
  <dc:creator/>
  <cp:keywords/>
</cp:coreProperties>
</file>