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963" w:h="283" w:wrap="none" w:hAnchor="page" w:x="109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FD92A9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BURMISTRZ</w:t>
      </w:r>
    </w:p>
    <w:p>
      <w:pPr>
        <w:pStyle w:val="Style2"/>
        <w:keepNext w:val="0"/>
        <w:keepLines w:val="0"/>
        <w:framePr w:w="1728" w:h="974" w:wrap="none" w:hAnchor="page" w:x="1376" w:y="284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26"/>
          <w:szCs w:val="26"/>
        </w:rPr>
      </w:pPr>
      <w:r>
        <w:rPr>
          <w:color w:val="FD92A9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Gminy</w:t>
      </w:r>
    </w:p>
    <w:p>
      <w:pPr>
        <w:pStyle w:val="Style2"/>
        <w:keepNext w:val="0"/>
        <w:keepLines w:val="0"/>
        <w:framePr w:w="1728" w:h="974" w:wrap="none" w:hAnchor="page" w:x="1376" w:y="284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left"/>
        <w:rPr>
          <w:sz w:val="26"/>
          <w:szCs w:val="26"/>
        </w:rPr>
      </w:pPr>
      <w:r>
        <w:rPr>
          <w:color w:val="FD92A9"/>
          <w:spacing w:val="0"/>
          <w:w w:val="100"/>
          <w:position w:val="0"/>
          <w:sz w:val="26"/>
          <w:szCs w:val="26"/>
          <w:shd w:val="clear" w:color="auto" w:fill="auto"/>
          <w:lang w:val="pl-PL" w:eastAsia="pl-PL" w:bidi="pl-PL"/>
        </w:rPr>
        <w:t>OSIECZNA</w:t>
      </w:r>
    </w:p>
    <w:p>
      <w:pPr>
        <w:pStyle w:val="Style2"/>
        <w:keepNext w:val="0"/>
        <w:keepLines w:val="0"/>
        <w:framePr w:w="1728" w:h="974" w:wrap="none" w:hAnchor="page" w:x="1376" w:y="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FE.6220.11.2020</w:t>
      </w:r>
    </w:p>
    <w:p>
      <w:pPr>
        <w:pStyle w:val="Style2"/>
        <w:keepNext w:val="0"/>
        <w:keepLines w:val="0"/>
        <w:framePr w:w="2947" w:h="307" w:wrap="none" w:hAnchor="page" w:x="7554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Osieczna, 23 listopada 2020 r.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93" w:right="1400" w:bottom="6894" w:left="1092" w:header="365" w:footer="646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3" w:right="0" w:bottom="79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OBWIESZCZENIE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Burmistrza Gminy Osieczna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 podstawie art. 74 ust. 3 ustawy z dnia 3 października 2008 r. o udostępnianiu</w:t>
        <w:br/>
        <w:t>informacji o środowisku i jego ochronie, udziale społeczeństwa w ochronie środowiska oraz</w:t>
        <w:br/>
        <w:t>o ocenach oddziaływania na środowisko (t.j. Dz. U. z 2020 r. poz. 283 ze zmianami) oraz art.</w:t>
        <w:br/>
        <w:t>49 i art. 61 ustawy z dnia 14 czerwca 1960 r. Kodeks postępowania administracyjnego (t.j. Dz.</w:t>
        <w:br/>
        <w:t>U. z 2020 r. poz. 256 ze zmianami)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zawiadamiam: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 wystąpieniu w toku postępowania administracyjnego w sprawie wydania decyzji</w:t>
        <w:br/>
        <w:t>o środowiskowych uwarunkowaniach, w dniu 23 listopada 2020 r. do organów wskazanych</w:t>
        <w:br/>
        <w:t xml:space="preserve">w ustawie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ooś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 o opinię co do potrzeby obowiązku przeprowadzenia oceny oddziaływania na</w:t>
        <w:br/>
        <w:t xml:space="preserve">środowisko dla planowanego przedsięwzięcia pn.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Budowa zespołu elektrowni fotowoltaicznej</w:t>
        <w:br/>
        <w:t>wraz z infrastrukturą towarzyszącą o mocy do 1MW - dz. nr 185/3 - południe.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 Inwestycja</w:t>
        <w:br/>
        <w:t>realizowana będzie na działce o numerze ewidencyjnym 185/3 w miejscowości Oporówko,</w:t>
        <w:br/>
        <w:t>Gmina Krzemieniewo.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 wystąpieniem Burmistrza Gminy Osieczna, do: Regionalnego Dyrektora Ochrony</w:t>
        <w:br/>
        <w:t>Środowiska w Poznaniu, Państwowego Gospodarstwa Wodnego Wody Polskie Zarząd Zlewni</w:t>
        <w:br/>
        <w:t>w Lesznie oraz Państwowego Powiatowego Inspektora Sanitarnego w Lesznie, a także</w:t>
        <w:br/>
        <w:t>pozostałymi aktami sprawy, można zapoznać się w Urzędzie Gminy Osieczna przy ul.</w:t>
        <w:br/>
        <w:t>Powstańców Wielkopolskich 6, 64-113 Osieczna, biuro nr 7 (I piętro) w godzinach pracy</w:t>
        <w:br/>
        <w:t>Urzędu tj. poniedziałek od godz. 8.00 do godz. 16.00, wtorek - piątek od godz. 7.00 do godz.</w:t>
        <w:br/>
        <w:t>15.00.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93" w:right="1400" w:bottom="793" w:left="135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260"/>
      <w:ind w:firstLine="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