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Zmiany w załączniku Nr 3 "Plan dochodów związanych z realizacją zadań z zakresu administracji rządowej i innych zadań zleconych gminie</w:t>
        <w:br/>
        <w:t>ustawami na 2024 rok"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3 do zarządzenia nr 40/2024 Burmistrza Gminy Osieczna z dnia 12 kwietnia 2024 roku</w:t>
      </w:r>
    </w:p>
    <w:tbl>
      <w:tblPr>
        <w:tblOverlap w:val="never"/>
        <w:jc w:val="center"/>
        <w:tblLayout w:type="fixed"/>
      </w:tblPr>
      <w:tblGrid>
        <w:gridCol w:w="1262"/>
        <w:gridCol w:w="1258"/>
        <w:gridCol w:w="1262"/>
        <w:gridCol w:w="4536"/>
        <w:gridCol w:w="2102"/>
        <w:gridCol w:w="2102"/>
        <w:gridCol w:w="2107"/>
      </w:tblGrid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Przed zmianą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Zmiana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 zmianie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naczelnych organów władzy państwowej,</w:t>
              <w:br/>
              <w:t>kontroli i ochrony prawa oraz sądownictwa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159 888,00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2 240,00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162 128,00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Wybory do rad gmin, rad powiatów i sejmików</w:t>
              <w:br/>
              <w:t>województw, wybory wójtów, burmistrzów i prezydentów</w:t>
              <w:br/>
              <w:t>miast oraz referenda gminne, powiatowe i wojewódzkie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124 894,00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2 240,00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127 134,00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</w:t>
              <w:br/>
              <w:t>realizację zadań bieżących z zakresu administracji</w:t>
              <w:br/>
              <w:t>rządowej oraz innych zadań zleconych gminie (związkom</w:t>
              <w:br/>
              <w:t>gmin, związkom powiatowo-gminnym)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124 894,00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2 240,00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127 134,00</w:t>
            </w:r>
          </w:p>
        </w:tc>
      </w:tr>
      <w:tr>
        <w:trPr>
          <w:trHeight w:val="288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4 467 896,23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2 240,00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4 470 136,23</w:t>
            </w:r>
          </w:p>
        </w:tc>
      </w:tr>
    </w:tbl>
    <w:p>
      <w:pPr>
        <w:widowControl w:val="0"/>
        <w:spacing w:after="64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Strona 1 z 1</w:t>
      </w:r>
    </w:p>
    <w:sectPr>
      <w:footnotePr>
        <w:pos w:val="pageBottom"/>
        <w:numFmt w:val="decimal"/>
        <w:numRestart w:val="continuous"/>
      </w:footnotePr>
      <w:pgSz w:w="16840" w:h="11900" w:orient="landscape"/>
      <w:pgMar w:top="580" w:right="1222" w:bottom="358" w:left="987" w:header="152" w:footer="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Inne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380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Inne"/>
    <w:basedOn w:val="Normal"/>
    <w:link w:val="CharStyle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