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Zmiany w załączniku Nr 2 "Plan wydatków związanych z realizacją zadań z zakresu administracji rządowej i innych zadań zleconych gminie</w:t>
        <w:br/>
        <w:t>ustawami na 2024 rok"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568960</wp:posOffset>
                </wp:positionH>
                <wp:positionV relativeFrom="paragraph">
                  <wp:posOffset>5791200</wp:posOffset>
                </wp:positionV>
                <wp:extent cx="433070" cy="18605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307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4.800000000000004pt;margin-top:456.pt;width:34.100000000000001pt;height:14.6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2 do zarządzenia Nr 41/2024 Burmistrza Gminy Osieczna z dnia 12 kwietnia 2024 roku</w:t>
      </w:r>
    </w:p>
    <w:tbl>
      <w:tblPr>
        <w:tblOverlap w:val="never"/>
        <w:jc w:val="center"/>
        <w:tblLayout w:type="fixed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Przed zmianą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Zmiana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 zmianie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</w:t>
              <w:br/>
              <w:t>kontroli i ochrony prawa oraz sądownictwa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159 888,00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162 128,00</w:t>
            </w:r>
          </w:p>
        </w:tc>
      </w:tr>
      <w:tr>
        <w:trPr>
          <w:trHeight w:val="63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Wybory do rad gmin, rad powiatów i sejmików</w:t>
              <w:br/>
              <w:t>województw, wybory wójtów, burmistrzów i prezydentów</w:t>
              <w:br/>
              <w:t>miast oraz referenda gminne, powiatowe i wojewódzkie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124 894,00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127 134,00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77 040,00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24 481,56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30 075,56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4 210,85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5 520,85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598,30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788,30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-18 038,31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1 561,69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-10 252,40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9 747,60</w:t>
            </w:r>
          </w:p>
        </w:tc>
      </w:tr>
      <w:tr>
        <w:trPr>
          <w:trHeight w:val="456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2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8318"/>
        <w:gridCol w:w="2102"/>
        <w:gridCol w:w="2102"/>
        <w:gridCol w:w="2112"/>
      </w:tblGrid>
      <w:tr>
        <w:trPr>
          <w:trHeight w:val="2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4 467 896,23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2 240,00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4 470 136,23</w:t>
            </w:r>
          </w:p>
        </w:tc>
      </w:tr>
    </w:tbl>
    <w:p>
      <w:pPr>
        <w:widowControl w:val="0"/>
        <w:spacing w:after="46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1 z 1</w: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668" w:right="1294" w:bottom="668" w:left="844" w:header="240" w:footer="24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Inne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32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Inne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