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3 "Plan dochodów związanych z realizacją zadań z zakresu administracji rządowej i innych zadań zleconych gminie ustawami</w:t>
        <w:br/>
        <w:t>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5791200</wp:posOffset>
                </wp:positionV>
                <wp:extent cx="433070" cy="1860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00000000000004pt;margin-top:456.pt;width:34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3 do zarządzenia nr 33/2024 Burmistrza Gminy Osieczna z dnia 29 marca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107 874,00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159 888,00</w:t>
            </w:r>
          </w:p>
        </w:tc>
      </w:tr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rad gmin, rad powiatów i sejmików</w:t>
              <w:br/>
              <w:t>województw, wybory wójtów, burmistrzów i prezydentów</w:t>
              <w:br/>
              <w:t>miast oraz referenda gminne, powiatowe i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Parlamentu Europejskiego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335 478,00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341 590,00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335 478,00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341 590,00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335 478,00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341 590,00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3 229 709,00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443 352,00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3 673 061,00</w:t>
            </w:r>
          </w:p>
        </w:tc>
      </w:tr>
    </w:tbl>
    <w:p>
      <w:pPr>
        <w:widowControl w:val="0"/>
        <w:spacing w:after="37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979" w:right="1294" w:bottom="780" w:left="844" w:header="551" w:footer="35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