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2 "Plan wydatków związanych z realizacją zadań z zakresu administracji rządowej i innych zadań zleconych gminie</w:t>
        <w:br/>
        <w:t>ustawami na 2023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 do zarządzenia Nr 145/2023 Burmistrza Gminy Osieczna z dnia 29 grudnia 2023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3 986 409,44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3 986 409,44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</w:t>
              <w:br/>
              <w:t>alimentacyjnego oraz składki na ubezpieczenia</w:t>
              <w:br/>
              <w:t>emerytalne i rentowe z ubezpieczenia społecznego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3 931 372,80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3 931 372,80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3 428 380,30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-247,42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3 428 132,88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76 131,50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76 337,03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402 036,85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2 225,04</w:t>
            </w:r>
          </w:p>
        </w:tc>
      </w:tr>
      <w:tr>
        <w:trPr>
          <w:trHeight w:val="259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5 577 769,48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5 577 769,48</w:t>
            </w:r>
          </w:p>
        </w:tc>
      </w:tr>
    </w:tbl>
    <w:p>
      <w:pPr>
        <w:widowControl w:val="0"/>
        <w:spacing w:after="61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834" w:right="1222" w:bottom="497" w:left="987" w:header="406" w:footer="6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36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