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before="0" w:after="0"/>
        <w:ind w:left="5669" w:right="0"/>
        <w:jc w:val="left"/>
        <w:rPr>
          <w:rFonts w:ascii="Times New Roman" w:eastAsia="Times New Roman" w:hAnsi="Times New Roman" w:cs="Times New Roman"/>
          <w:b/>
          <w:i/>
          <w:sz w:val="20"/>
          <w:u w:val="thick"/>
        </w:rPr>
      </w:pPr>
      <w:r>
        <w:rPr>
          <w:rFonts w:ascii="Times New Roman" w:eastAsia="Times New Roman" w:hAnsi="Times New Roman" w:cs="Times New Roman"/>
          <w:b/>
          <w:i/>
          <w:sz w:val="20"/>
          <w:u w:val="thick"/>
        </w:rPr>
        <w:t>Projekt</w:t>
      </w:r>
    </w:p>
    <w:p w:rsidR="00A77B3E">
      <w:pPr>
        <w:spacing w:before="0" w:after="0"/>
        <w:ind w:left="5669" w:right="0"/>
        <w:jc w:val="left"/>
        <w:rPr>
          <w:rFonts w:ascii="Times New Roman" w:eastAsia="Times New Roman" w:hAnsi="Times New Roman" w:cs="Times New Roman"/>
          <w:b/>
          <w:i/>
          <w:sz w:val="20"/>
          <w:u w:val="thick"/>
        </w:rPr>
      </w:pP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 dnia  15 grudnia 2023 r.</w:t>
      </w: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Zatwierdzony przez .........................</w:t>
      </w:r>
    </w:p>
    <w:p w:rsidR="00A77B3E">
      <w:pPr>
        <w:spacing w:before="0" w:after="0"/>
        <w:ind w:left="5669" w:right="0"/>
        <w:jc w:val="left"/>
        <w:rPr>
          <w:rFonts w:ascii="Times New Roman" w:eastAsia="Times New Roman" w:hAnsi="Times New Roman" w:cs="Times New Roman"/>
          <w:b w:val="0"/>
          <w:i w:val="0"/>
          <w:sz w:val="20"/>
          <w:u w:val="none"/>
        </w:rPr>
      </w:pPr>
    </w:p>
    <w:p w:rsidR="00A77B3E">
      <w:pPr>
        <w:spacing w:before="0" w:after="0" w:line="240" w:lineRule="auto"/>
        <w:ind w:left="0" w:right="0"/>
        <w:jc w:val="center"/>
        <w:rPr>
          <w:rFonts w:ascii="Times New Roman" w:eastAsia="Times New Roman" w:hAnsi="Times New Roman" w:cs="Times New Roman"/>
          <w:b/>
          <w:i w:val="0"/>
          <w:caps/>
          <w:sz w:val="22"/>
          <w:u w:val="none"/>
        </w:rPr>
      </w:pPr>
      <w:r>
        <w:rPr>
          <w:rFonts w:ascii="Times New Roman" w:eastAsia="Times New Roman" w:hAnsi="Times New Roman" w:cs="Times New Roman"/>
          <w:b/>
          <w:i w:val="0"/>
          <w:caps/>
          <w:sz w:val="22"/>
          <w:u w:val="none"/>
        </w:rPr>
        <w:t>Uchwała</w:t>
      </w:r>
      <w:r>
        <w:rPr>
          <w:rFonts w:ascii="Times New Roman" w:eastAsia="Times New Roman" w:hAnsi="Times New Roman" w:cs="Times New Roman"/>
          <w:b/>
          <w:i w:val="0"/>
          <w:caps/>
          <w:sz w:val="22"/>
          <w:u w:val="none"/>
        </w:rPr>
        <w:t xml:space="preserve"> Nr LVIII.   .2023</w:t>
      </w:r>
      <w:r>
        <w:rPr>
          <w:rFonts w:ascii="Times New Roman" w:eastAsia="Times New Roman" w:hAnsi="Times New Roman" w:cs="Times New Roman"/>
          <w:b/>
          <w:i w:val="0"/>
          <w:caps/>
          <w:sz w:val="22"/>
          <w:u w:val="none"/>
        </w:rPr>
        <w:br/>
      </w:r>
      <w:r>
        <w:rPr>
          <w:rFonts w:ascii="Times New Roman" w:eastAsia="Times New Roman" w:hAnsi="Times New Roman" w:cs="Times New Roman"/>
          <w:b/>
          <w:i w:val="0"/>
          <w:caps/>
          <w:sz w:val="22"/>
          <w:u w:val="none"/>
        </w:rPr>
        <w:t>Rady Miejskiej Gminy Osieczna</w:t>
      </w:r>
    </w:p>
    <w:p w:rsidR="00A77B3E">
      <w:pPr>
        <w:spacing w:before="280" w:after="280" w:line="240" w:lineRule="auto"/>
        <w:ind w:left="0" w:right="0"/>
        <w:jc w:val="center"/>
        <w:rPr>
          <w:rFonts w:ascii="Times New Roman" w:eastAsia="Times New Roman" w:hAnsi="Times New Roman" w:cs="Times New Roman"/>
          <w:b/>
          <w:i w:val="0"/>
          <w:caps/>
          <w:sz w:val="22"/>
          <w:u w:val="none"/>
        </w:rPr>
      </w:pPr>
      <w:r>
        <w:rPr>
          <w:rFonts w:ascii="Times New Roman" w:eastAsia="Times New Roman" w:hAnsi="Times New Roman" w:cs="Times New Roman"/>
          <w:b w:val="0"/>
          <w:caps w:val="0"/>
          <w:sz w:val="22"/>
        </w:rPr>
        <w:t>z dnia 15 grudnia 2023 r.</w:t>
      </w:r>
    </w:p>
    <w:p w:rsidR="00A77B3E">
      <w:pPr>
        <w:keepNext/>
        <w:spacing w:before="0" w:after="480" w:line="240" w:lineRule="auto"/>
        <w:ind w:left="0" w:right="0" w:firstLine="0"/>
        <w:jc w:val="center"/>
        <w:rPr>
          <w:rFonts w:ascii="Albertus Extra Bold" w:eastAsia="Albertus Extra Bold" w:hAnsi="Albertus Extra Bold" w:cs="Albertus Extra Bold"/>
          <w:b w:val="0"/>
          <w:i w:val="0"/>
          <w:caps w:val="0"/>
          <w:strike w:val="0"/>
          <w:color w:val="auto"/>
          <w:sz w:val="22"/>
          <w:u w:val="none"/>
        </w:rPr>
      </w:pPr>
      <w:r>
        <w:rPr>
          <w:rFonts w:ascii="Albertus Extra Bold" w:eastAsia="Albertus Extra Bold" w:hAnsi="Albertus Extra Bold" w:cs="Albertus Extra Bold"/>
          <w:b/>
          <w:i w:val="0"/>
          <w:caps w:val="0"/>
          <w:sz w:val="22"/>
          <w:u w:val="none"/>
        </w:rPr>
        <w:t>w sprawie zasad przeznaczania do sprzedaży nieruchomości gruntowych oddanych w użytkowanie wieczyste oraz szczegółowych wytycznych sprzedaży nieruchomości gruntowych na rzecz ich użytkowników wieczystych</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val="0"/>
          <w:i w:val="0"/>
          <w:caps w:val="0"/>
          <w:strike w:val="0"/>
          <w:color w:val="auto"/>
          <w:sz w:val="22"/>
          <w:u w:val="none"/>
        </w:rPr>
        <w:t>Na podstawie art.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32</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1b ustawy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21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sierpnia 1997</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 o</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gospodarce nieruchomościami (Dz.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2023</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 poz.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344</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ze zmianami) Rada Miejska Gminy Osieczna uchwala,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rPr>
        <w:t>Przeznaczenie do sprzedaży nieruchomości gruntowych stanowiących własność Gminy Osieczna na rzecz ich użytkowników wieczystych, odbywa się na zasadach oraz według wytycznych sprzedaży określonych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niniejszej uchwale.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Sprzedaż,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której mowa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 może nastąpić na wniosek użytkownika wieczystego, jeśli zostaną spełnione łącznie następujące warunki: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nieruchomość gruntowa jest zabudowana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nie jest przeznaczona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miejscowym planie zagospodarowania przestrzennego Gminy Osieczna albo,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razie jego braku,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studium uwarunkowań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kierunków zagospodarowania przestrzennego Gminy Osieczna na potrzeby zabezpieczenia rezerw terenów pod realizację celów publicznych, budownictwa mieszkaniowego lub celów użyteczności publicznej;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nieruchomość gruntowa została zagospodarowana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postanowieniami umowy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oddanie nieruchomości gruntowej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użytkowanie wieczyste lub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decyzją lub innym dokumentem lub przepisem prawa na podstawie, którego grunt został oddany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użytkowanie wieczyste,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tym celu, na który nieruchomość gruntowa została oddana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użytkowanie wieczyste;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dotychczasowy użytkownik wieczysty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posiada zaległości wobec Gminy Osieczna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stosunku do nieruchomości gruntowej objętej sprzedażą:</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 tytułu opłat rocznych za użytkowanie wieczyste,</w:t>
      </w:r>
    </w:p>
    <w:p w:rsidR="00A77B3E">
      <w:pPr>
        <w:keepNext w:val="0"/>
        <w:keepLines/>
        <w:spacing w:before="120" w:after="120" w:line="240" w:lineRule="auto"/>
        <w:ind w:left="56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z tytułu podatku od nieruchomości.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przypadku niespełnienia warunków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zastrzeżeniem jego pkt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 przeznaczenie do sprzedaży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sprzedaż może nastąpić jedynie za zgodą Rady Miejskiej Gminy Osieczna.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Cenę nieruchomości gruntowej przeznaczonej do sprzedaży,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której mowa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ustala się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sposób określony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69</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1997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gospodarce nieruchomościami.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4. </w:t>
      </w:r>
      <w:r>
        <w:rPr>
          <w:rFonts w:ascii="Times New Roman" w:eastAsia="Times New Roman" w:hAnsi="Times New Roman" w:cs="Times New Roman"/>
          <w:b w:val="0"/>
          <w:i w:val="0"/>
          <w:caps w:val="0"/>
          <w:strike w:val="0"/>
          <w:color w:val="000000"/>
          <w:sz w:val="22"/>
          <w:u w:val="none" w:color="000000"/>
          <w:vertAlign w:val="baseline"/>
        </w:rPr>
        <w:t>W przypadku nieruchomości gruntowej wykorzystywanej do prowadzenia działalności gospodarczej, sprzedawanej jej użytkownikowi wieczystemu, ma zastosowanie przepis art.</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69a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sierpnia 1997</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gospodarce nieruchomościami.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5. </w:t>
      </w:r>
      <w:r>
        <w:rPr>
          <w:rFonts w:ascii="Times New Roman" w:eastAsia="Times New Roman" w:hAnsi="Times New Roman" w:cs="Times New Roman"/>
          <w:b w:val="0"/>
          <w:i w:val="0"/>
          <w:caps w:val="0"/>
          <w:strike w:val="0"/>
          <w:color w:val="000000"/>
          <w:sz w:val="22"/>
          <w:u w:val="none" w:color="000000"/>
          <w:vertAlign w:val="baseline"/>
        </w:rPr>
        <w:t>Wykonanie uchwały powierza się Burmistrzowi Gminy Osieczna.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sectPr>
          <w:footerReference w:type="default" r:id="rId4"/>
          <w:endnotePr>
            <w:numFmt w:val="decimal"/>
          </w:endnotePr>
          <w:pgSz w:w="11906" w:h="16838"/>
          <w:pgMar w:top="1417" w:right="1020" w:bottom="992" w:left="1020" w:header="708" w:footer="708" w:gutter="0"/>
          <w:cols w:space="708"/>
          <w:docGrid w:linePitch="360"/>
        </w:sectPr>
      </w:pPr>
      <w:r>
        <w:rPr>
          <w:rFonts w:ascii="Times New Roman" w:eastAsia="Times New Roman" w:hAnsi="Times New Roman" w:cs="Times New Roman"/>
          <w:b/>
          <w:sz w:val="22"/>
        </w:rPr>
        <w:t>§ 6. </w:t>
      </w:r>
      <w:r>
        <w:rPr>
          <w:rFonts w:ascii="Times New Roman" w:eastAsia="Times New Roman" w:hAnsi="Times New Roman" w:cs="Times New Roman"/>
          <w:b w:val="0"/>
          <w:i w:val="0"/>
          <w:caps w:val="0"/>
          <w:strike w:val="0"/>
          <w:color w:val="000000"/>
          <w:sz w:val="22"/>
          <w:u w:val="none" w:color="000000"/>
          <w:vertAlign w:val="baseline"/>
        </w:rPr>
        <w:t>Uchwała wchodzi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życie po upływie 14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 od daty ogłoszenia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Dzienniku Urzędowym  Województwa Wielkopolskiego.</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szCs w:val="20"/>
        </w:rPr>
      </w:pPr>
      <w:r>
        <w:rPr>
          <w:b/>
          <w:szCs w:val="20"/>
        </w:rPr>
        <w:t>Uzasadnienie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center"/>
        <w:rPr>
          <w:color w:val="000000"/>
          <w:szCs w:val="20"/>
          <w:u w:color="000000"/>
        </w:rPr>
      </w:pPr>
      <w:r>
        <w:rPr>
          <w:b/>
          <w:szCs w:val="20"/>
        </w:rPr>
        <w:t>do uchwały nr LVIII.   .2023 Rady Miejskiej Gminy Osieczna z dnia 15 grudnia 2023 r. w sprawie zasad przeznaczania do sprzedaży nieruchomości gruntowych oddanych w użytkowanie wieczyste oraz szczegółowych wytycznych sprzedaży nieruchomości gruntowych na rzecz ich użytkowników wieczystych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Na mocy ustawy z dnia 26 maja 2023 r. o zmianie ustawy o samorządzie gminnym, ustawy o społecznych formach rozwoju mieszkalnictwa, ustawy o gospodarce nieruchomościami, ustawy o podatku od czynności cywilnoprawnych oraz niektórych innych ustaw (ustawa nowelizująca) do ustawy z dnia 21 sierpnia 1997 r. o gospodarce nieruchomościami (u.g.n.), zmieniono i dodano szereg przepisów dotyczących sprzedaży nieruchomości gruntowych na rzecz ich użytkowników wieczystych. Nowe przepisy weszły w życie z dniem 31 sierpnia 2023 r.</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Obecne przepisy regulują sprzedaż nieruchomości gruntowych na rzecz ich użytkowników wieczystych: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1. na zasadach ogólnych – w oparciu o art. 32 ust. 1 u.g.n, zgodnie z którym właściciel może sprzedać nieruchomość gruntową, ale nie ma takiego obowiązku, a użytkownik wieczysty nie ma roszczenia z tego tytułu. Ponadto w tym przypadku sprzedaż nieruchomości gruntowych została ustawowo ograniczona w czasie –sprzedaż nieruchomości gruntowej na rzecz jej użytkownika wieczystego nie może nastąpić przed upływem 10 lat od dnia zawarcia umowy o oddanie nieruchomości gruntowej w użytkowanie wieczyste,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2. w oparciu o przepisy epizodyczne dotyczące roszczenia, gdzie użytkownik wieczysty może wystąpić z żądaniem sprzedaży na jego rzecz nieruchomości gruntowej w terminie 12 miesięcy od dnia wejścia w życie ustawy nowelizującej – art. 198g u.g.n. tj. do 31 sierpnia 2024 r. Jednakże krąg podmiotów uprawnionych do wystąpienia z żądaniem został ograniczony i na podstawie art. 198g ust. 2 u.g.n. żądanie sprzedaży nie przysługuje: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1) jeżeli nieruchomość została oddana w użytkowanie wieczyste po dniu 31 grudnia 1997 r.;</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2) jeżeli użytkownik wieczysty nie wykonał zobowiązania określonego w umowie o oddanie nieruchomości gruntowej w użytkowanie wieczyste;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3) w odniesieniu do gruntów położonych na terenie portów i przystani morskich w rozumieniu art. 2 pkt 2 ustawy z dnia 20 grudnia 1996 r. o portach i przystaniach morskich (Dz. U. z 2022 r. poz. 1624 oraz z 2023 r. poz. 261);</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4) jeżeli grunt jest wykorzystywany na prowadzenie rodzinnego ogrodu działkowego w rozumieniu art. 2 pkt 5 ustawy z dnia 13 grudnia 2013 r. o rodzinnych ogrodach działkowych;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5) w odniesieniu do nieruchomości gruntowej niezabudowanej.</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Nowe regulacje zatem dotyczą w szczególności nieruchomości:</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 przeznaczonych na cele usługowe, handlowe, rekreacyjne, przemysłowe, w tym nieruchomości niezabudowanych powstałych po zmianach organizacyjnych przedsiębiorstw, które nabyły prawo użytkowania wieczystego nieruchomości z mocy prawa z dniem 05 grudnia 1990 r., a także po podziałach dużych terenów spółdzielni mieszkaniowych, w których użytkowaniu wieczystym pozostały nieruchomości o innym przeznaczeniu niż mieszkaniowe,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 zabudowanych urządzeniami infrastruktury technicznej (m.in. trafostacjami, stacjami redukcyjnymi gazu, przepompowniami),</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 zabudowanych garażami, nie podlegających przepisom ustawy z dnia 29 lipca 2005 r. o przekształceniu prawa użytkowania wieczystego w prawo własności (dotyczącym osób fizycznych będących w dniu 13 października 2005 r. użytkownikami wieczystymi nieruchomości zabudowanych garażami albo przeznaczonych pod zabudowę na cele mieszkaniowe lub pod zabudowę garażami oraz nieruchomości rolnych).</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Zgodnie z art. 32 ust. 1b u.g.n. – „Wojewoda – w odniesieniu do nieruchomości stanowiących własność Skarbu Państwa albo odpowiednia rada albo sejmik – w odniesieniu do nieruchomości stanowiących własność jednostek samorządu terytorialnego ustalają, odpowiednio w drodze zarządzenia albo uchwały, zasady przeznaczania do sprzedaży nieruchomości gruntowych oddanych w użytkowanie wieczyste oraz szczegółowe wytyczne sprzedaży nieruchomości gruntowych na rzecz ich użytkowników wieczystych, kierując się w szczególności:</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1) potrzebami społeczności lokalnej oraz interesem publicznym, w tym potrzebą zapewnienia rezerw terenów na realizację celów publicznych i pod budownictwo mieszkaniowe;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2) ładem przestrzennym;</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3) racjonalnością ekonomiczną;</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4) stanem realizacji postanowień umowy o oddanie nieruchomości gruntowej w użytkowanie wieczyste, w tym celu, na który nieruchomość została oddana w użytkowanie wieczyste;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5) okresem pozostałym do wygaśnięcia prawa użytkowania wieczystego na skutek upływu okresu ustalonego w umowie o oddanie nieruchomości gruntowej w użytkowanie wieczyste;</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6) potencjałem inwestycyjnym nieruchomości gruntowej na potrzeby realizacji celów publicznych, budownictwa mieszkaniowego lub celów użyteczności publicznej.</w:t>
      </w:r>
    </w:p>
    <w:p>
      <w:pPr>
        <w:keepNext w:val="0"/>
        <w:keepLines w:val="0"/>
        <w:widowControl/>
        <w:suppressLineNumbers w:val="0"/>
        <w:shd w:val="clear" w:color="auto" w:fill="auto"/>
        <w:suppressAutoHyphens w:val="0"/>
        <w:spacing w:before="120" w:beforeAutospacing="0" w:after="120" w:afterAutospacing="0" w:line="240" w:lineRule="auto"/>
        <w:ind w:left="0" w:right="0" w:firstLine="0"/>
        <w:contextualSpacing w:val="0"/>
        <w:rPr>
          <w:color w:val="000000"/>
          <w:szCs w:val="20"/>
          <w:u w:color="000000"/>
        </w:rPr>
      </w:pPr>
      <w:r>
        <w:rPr>
          <w:color w:val="000000"/>
          <w:szCs w:val="20"/>
          <w:u w:color="000000"/>
        </w:rPr>
        <w:t>Przy sprzedaży nieruchomości gruntowej wykorzystywanej do prowadzenia działalności gospodarczej, sprzedawanej jej użytkownikowi wieczystemu, za dzień udzielenia pomocy publicznej uznaje się dzień zawarcia umowy sprzedaży. Wartość pomocy publicznej odpowiada różnicy między wartością nieruchomości gruntowej, a ceną tej nieruchomości - art. 69 a u.g.n. W świetle powyższego, ustalona cena nieruchomości gruntowej wykorzystywanej do prowadzenia działalności gospodarczej, będzie miała przełożenie na udzielenie pomocy publicznej.</w:t>
      </w:r>
    </w:p>
    <w:p>
      <w:pPr>
        <w:keepNext/>
        <w:keepLines w:val="0"/>
        <w:widowControl/>
        <w:suppressLineNumbers w:val="0"/>
        <w:shd w:val="clear" w:color="auto" w:fill="auto"/>
        <w:suppressAutoHyphens w:val="0"/>
        <w:spacing w:before="120" w:beforeAutospacing="0" w:after="120" w:afterAutospacing="0" w:line="240" w:lineRule="auto"/>
        <w:ind w:left="0" w:right="0" w:firstLine="0"/>
        <w:contextualSpacing w:val="0"/>
        <w:jc w:val="left"/>
        <w:rPr>
          <w:color w:val="000000"/>
          <w:szCs w:val="20"/>
          <w:u w:color="000000"/>
        </w:rPr>
      </w:pPr>
      <w:r>
        <w:rPr>
          <w:color w:val="000000"/>
          <w:szCs w:val="20"/>
          <w:u w:color="000000"/>
        </w:rPr>
        <w:t>Mając powyższe na uwadze, wnoszę o podjęcie niniejszej uchwały.</w:t>
      </w:r>
    </w:p>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r>
        <w:rPr>
          <w:color w:val="000000"/>
          <w:szCs w:val="20"/>
          <w:u w:color="000000"/>
        </w:rPr>
        <w:t>  </w:t>
      </w:r>
    </w:p>
    <w:tbl>
      <w:tblPr>
        <w:tblStyle w:val="TableNormal"/>
        <w:tblW w:w="5000" w:type="pct"/>
        <w:tblLayout w:type="fixed"/>
        <w:tblCellMar>
          <w:top w:w="0" w:type="dxa"/>
          <w:left w:w="0" w:type="dxa"/>
          <w:bottom w:w="0" w:type="dxa"/>
          <w:right w:w="0" w:type="dxa"/>
        </w:tblCellMar>
      </w:tblPr>
      <w:tblGrid>
        <w:gridCol w:w="4933"/>
        <w:gridCol w:w="4933"/>
      </w:tblGrid>
      <w:tr>
        <w:tblPrEx>
          <w:tblW w:w="5000" w:type="pct"/>
          <w:tblLayout w:type="fixed"/>
          <w:tblCellMar>
            <w:top w:w="0" w:type="dxa"/>
            <w:left w:w="0" w:type="dxa"/>
            <w:bottom w:w="0" w:type="dxa"/>
            <w:right w:w="0" w:type="dxa"/>
          </w:tblCellMar>
        </w:tblPrEx>
        <w:tc>
          <w:tcPr>
            <w:tcW w:w="4935" w:type="dxa"/>
            <w:noWrap w:val="0"/>
            <w:tcMar>
              <w:top w:w="0" w:type="dxa"/>
              <w:left w:w="0" w:type="dxa"/>
              <w:bottom w:w="0" w:type="dxa"/>
              <w:right w:w="0" w:type="dxa"/>
            </w:tcMar>
            <w:vAlign w:val="top"/>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rPr>
            </w:pPr>
          </w:p>
        </w:tc>
        <w:tc>
          <w:tcPr>
            <w:tcW w:w="4935" w:type="dxa"/>
            <w:noWrap w:val="0"/>
            <w:tcMar>
              <w:top w:w="0" w:type="dxa"/>
              <w:left w:w="0" w:type="dxa"/>
              <w:bottom w:w="0" w:type="dxa"/>
              <w:right w:w="0" w:type="dxa"/>
            </w:tcMar>
            <w:vAlign w:val="top"/>
            <w:hideMark/>
          </w:tcPr>
          <w:p>
            <w:pPr>
              <w:keepNext/>
              <w:keepLines/>
              <w:widowControl/>
              <w:suppressLineNumbers w:val="0"/>
              <w:shd w:val="clear" w:color="auto" w:fill="auto"/>
              <w:suppressAutoHyphens w:val="0"/>
              <w:spacing w:before="560" w:beforeAutospacing="0" w:after="560" w:afterAutospacing="0" w:line="240" w:lineRule="auto"/>
              <w:ind w:left="1134" w:right="1134" w:firstLine="0"/>
              <w:contextualSpacing w:val="0"/>
              <w:jc w:val="center"/>
              <w:rPr>
                <w:b/>
                <w:color w:val="000000"/>
                <w:szCs w:val="20"/>
              </w:rPr>
            </w:pPr>
            <w:r>
              <w:rPr>
                <w:color w:val="000000"/>
                <w:szCs w:val="20"/>
              </w:rPr>
              <w:fldChar w:fldCharType="begin"/>
            </w:r>
            <w:r>
              <w:rPr>
                <w:color w:val="000000"/>
                <w:szCs w:val="20"/>
              </w:rPr>
              <w:instrText>MERGEFIELD SIGNATURE_0_0__FUNCTION \* MERGEFORMAT</w:instrText>
            </w:r>
            <w:r>
              <w:rPr>
                <w:color w:val="000000"/>
                <w:szCs w:val="20"/>
              </w:rPr>
              <w:fldChar w:fldCharType="separate"/>
            </w:r>
            <w:r>
              <w:rPr>
                <w:color w:val="000000"/>
                <w:szCs w:val="20"/>
              </w:rPr>
              <w:t>Burmistrz Gminy Osieczna</w:t>
            </w:r>
            <w:r>
              <w:rPr>
                <w:color w:val="000000"/>
                <w:szCs w:val="20"/>
              </w:rPr>
              <w:fldChar w:fldCharType="end"/>
            </w:r>
            <w:r>
              <w:rPr>
                <w:color w:val="000000"/>
                <w:szCs w:val="20"/>
              </w:rPr>
              <w:br/>
              <w:br/>
              <w:br/>
            </w:r>
            <w:r>
              <w:rPr>
                <w:b/>
                <w:color w:val="000000"/>
                <w:szCs w:val="20"/>
              </w:rPr>
              <w:fldChar w:fldCharType="begin"/>
            </w:r>
            <w:r>
              <w:rPr>
                <w:b/>
                <w:color w:val="000000"/>
                <w:szCs w:val="20"/>
              </w:rPr>
              <w:instrText>MERGEFIELD SIGNATURE_0_0_FIRSTNAME \* MERGEFORMAT</w:instrText>
            </w:r>
            <w:r>
              <w:rPr>
                <w:b/>
                <w:color w:val="000000"/>
                <w:szCs w:val="20"/>
              </w:rPr>
              <w:fldChar w:fldCharType="separate"/>
            </w:r>
            <w:r>
              <w:rPr>
                <w:b/>
                <w:color w:val="000000"/>
                <w:szCs w:val="20"/>
              </w:rPr>
              <w:t>Stanisław</w:t>
            </w:r>
            <w:r>
              <w:rPr>
                <w:b/>
                <w:color w:val="000000"/>
                <w:szCs w:val="20"/>
              </w:rPr>
              <w:fldChar w:fldCharType="end"/>
            </w:r>
            <w:r>
              <w:rPr>
                <w:b/>
                <w:color w:val="000000"/>
                <w:szCs w:val="20"/>
              </w:rPr>
              <w:t> </w:t>
            </w:r>
            <w:r>
              <w:rPr>
                <w:b/>
                <w:color w:val="000000"/>
                <w:szCs w:val="20"/>
              </w:rPr>
              <w:fldChar w:fldCharType="begin"/>
            </w:r>
            <w:r>
              <w:rPr>
                <w:b/>
                <w:color w:val="000000"/>
                <w:szCs w:val="20"/>
              </w:rPr>
              <w:instrText>MERGEFIELD SIGNATURE_0_0_LASTNAME \* MERGEFORMAT</w:instrText>
            </w:r>
            <w:r>
              <w:rPr>
                <w:b/>
                <w:color w:val="000000"/>
                <w:szCs w:val="20"/>
              </w:rPr>
              <w:fldChar w:fldCharType="separate"/>
            </w:r>
            <w:r>
              <w:rPr>
                <w:b/>
                <w:color w:val="000000"/>
                <w:szCs w:val="20"/>
              </w:rPr>
              <w:t>Glapiak</w:t>
            </w:r>
            <w:r>
              <w:rPr>
                <w:b/>
                <w:color w:val="000000"/>
                <w:szCs w:val="20"/>
              </w:rPr>
              <w:fldChar w:fldCharType="end"/>
            </w:r>
            <w:r>
              <w:rPr>
                <w:b/>
                <w:color w:val="000000"/>
                <w:szCs w:val="20"/>
              </w:rPr>
              <w:t> </w:t>
            </w:r>
          </w:p>
        </w:tc>
      </w:tr>
    </w:tbl>
    <w:p>
      <w:pPr>
        <w:keepNext/>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u w:color="000000"/>
        </w:rPr>
      </w:pPr>
    </w:p>
    <w:sectPr>
      <w:footerReference w:type="default" r:id="rId5"/>
      <w:endnotePr>
        <w:numFmt w:val="decimal"/>
      </w:endnotePr>
      <w:type w:val="nextPage"/>
      <w:pgSz w:w="11906" w:h="16838" w:code="0"/>
      <w:pgMar w:top="1417" w:right="1020" w:bottom="992"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tcMar>
            <w:top w:w="100" w:type="dxa"/>
          </w:tcMar>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9FF1382E-5D26-4107-9E44-88C46A3F9C95. Projekt</w:t>
          </w:r>
        </w:p>
      </w:tc>
      <w:tc>
        <w:tcPr>
          <w:tcW w:w="3289" w:type="dxa"/>
          <w:tcBorders>
            <w:top w:val="single" w:sz="4" w:space="0" w:color="auto"/>
            <w:left w:val="nil"/>
            <w:bottom w:val="nil"/>
            <w:right w:val="nil"/>
          </w:tcBorders>
          <w:tcMar>
            <w:top w:w="100" w:type="dxa"/>
          </w:tcMar>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77"/>
      <w:gridCol w:w="32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577" w:type="dxa"/>
          <w:tcBorders>
            <w:top w:val="single" w:sz="4" w:space="0" w:color="auto"/>
            <w:left w:val="nil"/>
            <w:bottom w:val="nil"/>
            <w:right w:val="nil"/>
          </w:tcBorders>
          <w:tcMar>
            <w:top w:w="100" w:type="dxa"/>
          </w:tcMar>
        </w:tcPr>
        <w:p>
          <w:pPr>
            <w:jc w:val="left"/>
            <w:rPr>
              <w:rFonts w:ascii="Albertus Medium" w:eastAsia="Albertus Medium" w:hAnsi="Albertus Medium" w:cs="Albertus Medium"/>
              <w:b w:val="0"/>
              <w:sz w:val="18"/>
            </w:rPr>
          </w:pPr>
          <w:r>
            <w:rPr>
              <w:rFonts w:ascii="Albertus Medium" w:eastAsia="Albertus Medium" w:hAnsi="Albertus Medium" w:cs="Albertus Medium"/>
              <w:b w:val="0"/>
              <w:sz w:val="18"/>
            </w:rPr>
            <w:t>Id: 9FF1382E-5D26-4107-9E44-88C46A3F9C95. Projekt</w:t>
          </w:r>
        </w:p>
      </w:tc>
      <w:tc>
        <w:tcPr>
          <w:tcW w:w="3289" w:type="dxa"/>
          <w:tcBorders>
            <w:top w:val="single" w:sz="4" w:space="0" w:color="auto"/>
            <w:left w:val="nil"/>
            <w:bottom w:val="nil"/>
            <w:right w:val="nil"/>
          </w:tcBorders>
          <w:tcMar>
            <w:top w:w="100" w:type="dxa"/>
          </w:tcMar>
        </w:tcPr>
        <w:p>
          <w:pPr>
            <w:jc w:val="right"/>
            <w:rPr>
              <w:rFonts w:ascii="Albertus Medium" w:eastAsia="Albertus Medium" w:hAnsi="Albertus Medium" w:cs="Albertus Medium"/>
              <w:b w:val="0"/>
              <w:sz w:val="18"/>
            </w:rPr>
          </w:pPr>
          <w:r>
            <w:rPr>
              <w:rFonts w:ascii="Albertus Medium" w:eastAsia="Albertus Medium" w:hAnsi="Albertus Medium" w:cs="Albertus Medium"/>
              <w:b w:val="0"/>
              <w:sz w:val="18"/>
            </w:rPr>
            <w:t xml:space="preserve">Strona </w:t>
          </w:r>
          <w:r>
            <w:rPr>
              <w:rFonts w:ascii="Albertus Medium" w:eastAsia="Albertus Medium" w:hAnsi="Albertus Medium" w:cs="Albertus Medium"/>
              <w:b w:val="0"/>
              <w:sz w:val="18"/>
            </w:rPr>
            <w:fldChar w:fldCharType="begin"/>
          </w:r>
          <w:r>
            <w:rPr>
              <w:rFonts w:ascii="Albertus Medium" w:eastAsia="Albertus Medium" w:hAnsi="Albertus Medium" w:cs="Albertus Medium"/>
              <w:b w:val="0"/>
              <w:sz w:val="18"/>
            </w:rPr>
            <w:instrText>PAGE</w:instrText>
          </w:r>
          <w:r>
            <w:rPr>
              <w:rFonts w:ascii="Albertus Medium" w:eastAsia="Albertus Medium" w:hAnsi="Albertus Medium" w:cs="Albertus Medium"/>
              <w:b w:val="0"/>
              <w:sz w:val="18"/>
            </w:rPr>
            <w:fldChar w:fldCharType="separate"/>
          </w:r>
          <w:r>
            <w:rPr>
              <w:rFonts w:ascii="Albertus Medium" w:eastAsia="Albertus Medium" w:hAnsi="Albertus Medium" w:cs="Albertus Medium"/>
              <w:b w:val="0"/>
              <w:sz w:val="18"/>
            </w:rPr>
            <w:fldChar w:fldCharType="end"/>
          </w:r>
        </w:p>
      </w:tc>
    </w:tr>
  </w:tbl>
  <w:p>
    <w:pPr>
      <w:rPr>
        <w:rFonts w:ascii="Albertus Medium" w:eastAsia="Albertus Medium" w:hAnsi="Albertus Medium" w:cs="Albertus Medium"/>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Miejska Gminy Osieczna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LVIII.   .2023 z dnia 15 grudnia 2023 r.</dc:title>
  <dc:subject>w sprawie zasad przeznaczania do sprzedaży nieruchomości gruntowych oddanych w^użytkowanie wieczyste oraz szczegółowych wytycznych sprzedaży nieruchomości gruntowych na rzecz ich użytkowników wieczystych</dc:subject>
  <dc:creator>m.skorupka</dc:creator>
  <cp:lastModifiedBy>m.skorupka</cp:lastModifiedBy>
  <cp:revision>1</cp:revision>
  <dcterms:created xsi:type="dcterms:W3CDTF">2023-12-15T11:15:13Z</dcterms:created>
  <dcterms:modified xsi:type="dcterms:W3CDTF">2023-12-15T11:15:13Z</dcterms:modified>
  <cp:category>Akt prawny</cp:category>
</cp:coreProperties>
</file>