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4 grudnia 2023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SO-12/0957/106/2023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 grudnia 2023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40"/>
        <w:ind w:left="1180" w:right="0" w:hanging="1180"/>
        <w:jc w:val="both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wieloletniej prognozy finansowej Gminy Osieczna na</w:t>
        <w:br/>
        <w:t>lata 2024-2028.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16/2023 Prezesa Regionalnej Izby Obrachunkowej w Poznaniu z dnia 4 września 2023 r.</w:t>
        <w:br/>
        <w:t>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12 i art. 19 ust. 2 ustawy z dnia 7 października 1992 r.</w:t>
        <w:br/>
        <w:t>o regionalnych izbach obrachunkowych (Dz. U. z 2023 r., poz. 1325) w związku z art. 230 ust. 3</w:t>
        <w:br/>
        <w:t>ustawy z dnia 27 sierpnia 2009 r. o finansach publicznych (Dz. U. z 2023r. poz. 1270 ze zm.), wyraża</w:t>
        <w:br/>
        <w:t>o przedłożonym przez Burmistrza Gminy Osieczna projekcie wieloletniej prognozy finansowej na lata</w:t>
        <w:br/>
        <w:t>2024-2028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wieloletniej prognozy finansowej na lata 2024-2028 Gminy</w:t>
        <w:br/>
        <w:t>Osieczna został przedłożony tutejszej Izbie w dniu 13 listopada 2023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Wydając niniejszą opinię Skład Orzekający zapoznał się m.in. z następującymi dokumentami</w:t>
        <w:br/>
        <w:t>będącymi w posiadaniu Izby: projektem uchwały budżetowej na 2024 r., uchwałą w sprawie</w:t>
        <w:br/>
        <w:t>Wieloletniej Prognozy Finansowej Gminy Osieczna na lata 2023-2028 ze zmianami, uchwałą</w:t>
        <w:br/>
        <w:t>budżetową na 2023 r. ze zm., uchwałami okołobudżetowymi mogącymi mieć wpływ na zadłużenie</w:t>
        <w:br/>
        <w:t>jednostki oraz sprawozdaniami sporządzonymi wg stanu na dzień 31.12.2022 r. i 30.09.2023 r.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14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zawiera dane wymagane przepisami art. 226 ustawy o finansach</w:t>
        <w:br/>
        <w:t>publicznych.</w:t>
      </w:r>
    </w:p>
    <w:p>
      <w:pPr>
        <w:pStyle w:val="Style4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22" w:val="left"/>
        </w:tabs>
        <w:bidi w:val="0"/>
        <w:spacing w:before="0" w:after="34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212" w:bottom="303" w:left="108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publicznych.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projektu wynika, że okres objęty WPF odpowiada okresowi na jaki przyjęto limity wydatków na</w:t>
        <w:br/>
        <w:t>realizację ujętych w prognozie przedsięwzięć, a prognoza kwoty długu sporządzona jest na okres na</w:t>
        <w:br/>
        <w:t>który zaciągnięto oraz planuje się zaciągnąć zobowiązania, co wyczerpuje dyspozycje art. 227 ustawy</w:t>
        <w:br/>
        <w:t>o finansach publicznych.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Prognoza kwoty długu wykazuje, że w 2024 roku oraz w pozostałych latach, czyli do końca okresu</w:t>
        <w:br/>
        <w:t>objętego prognozą, zostanie zachowana relacja, o której mowa w art. 243 ustawy o finansach</w:t>
        <w:br/>
        <w:t xml:space="preserve">publicznych.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Zadłużenie na koniec 2024 roku wyniesie 3.252.067,82 zł.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Zakres przewidzianych dla organu wykonawczego upoważnień nie wykracza poza dyspozycję</w:t>
        <w:br/>
        <w:t>wynikającą z art. 228 ustawy o finansach publicznych.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7" w:val="left"/>
        </w:tabs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WPF wykazuje zgodność z projektem uchwały budżetowej w zakresie</w:t>
        <w:br/>
        <w:t>wymaganym art. 229 ustawy o finansach publicznych.</w:t>
      </w:r>
    </w:p>
    <w:p>
      <w:pPr>
        <w:pStyle w:val="Style7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after="12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projektu uchwały w sprawie Wieloletniej Prognozy Finansowej Gminy na lata 2024</w:t>
        <w:t>-</w:t>
        <w:br/>
        <w:t>2028 w porównaniu z uchwałą w sprawie Wieloletniej Prognozy Finansowej Gminy na lata 2023-2028</w:t>
        <w:br/>
        <w:t>w zakresie załącznika Nr 2 „Wykaz przedsięwzięć” (uchwała Nr LVI.407.2023 z dnia 26 października</w:t>
        <w:br/>
        <w:t>2023 r. - ostatnia zmiana przed podjęciem projektu uchwały) wykazała rozbieżności w odniesieniu do</w:t>
        <w:br/>
        <w:t>niektórych przedsięwzięć (poz. 1.3.1.1; 1.3.1.2; 1.3.1.3; 1.3.1.6; 1.3.2.1; 1.3.2.2; 1.3.2.3; 1.3.2.7;</w:t>
        <w:br/>
        <w:t>1.3.2.9; 1.3.2.10; 1.3.2.15) w zakresie łącznych nakładów finansowych, okresu realizacji czy limitu</w:t>
        <w:br/>
        <w:t>wydatków w poszczególnych latach realizacji przedsięwzięć.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Ponadto wprowadzono nowe zadania pn.: „Rehabilitacja mieszkańców Gminy Osieczna na lata 2024</w:t>
        <w:t>-</w:t>
        <w:br/>
        <w:t>2026” poz. 1.3.1.7, „Budowa lokalnej oczyszczalni ścieków wraz z siecią kanalizacyjną obsługującą</w:t>
        <w:br/>
        <w:t>miejscowość Wojnowice” poz.1.3.2.16, oraz „Budowa zadaszenia przy świetlicy” poz. 1.3.2.15.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 objaśnieniach do Wieloletniej Prognozy Finansowej w pkt 2 „Załącznik nr 2 - Wykaz</w:t>
        <w:br/>
        <w:t>przedsięwzięć” wykazał ww. rozbieżności i zawarł informację, iż zostaną one uaktualnione na</w:t>
        <w:br/>
        <w:t>najbliższej sesji.</w:t>
      </w:r>
    </w:p>
    <w:p>
      <w:pPr>
        <w:pStyle w:val="Style7"/>
        <w:keepNext/>
        <w:keepLines/>
        <w:widowControl w:val="0"/>
        <w:numPr>
          <w:ilvl w:val="0"/>
          <w:numId w:val="9"/>
        </w:numPr>
        <w:shd w:val="clear" w:color="auto" w:fill="auto"/>
        <w:bidi w:val="0"/>
        <w:spacing w:before="0" w:after="12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że: w § 2 ust. 1 upoważniono Burmistrza Gminy Osieczna do</w:t>
        <w:br/>
        <w:t>zaciągania zobowiązań: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27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związanych z realizacją przedsięwzięć o których mowa w § 1 ust. 1 pkt 2,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39" w:val="left"/>
        </w:tabs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tytułu umów, których realizacja w roku budżetowym i w latach następnych jest</w:t>
        <w:br/>
        <w:t>niezbędna dla zapewnienia ciągłości działania Gminy i których płatności wykraczają poza rok</w:t>
        <w:br/>
        <w:t>budżetowy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Natomiast w § 2 ust. 2 upoważniono Burmistrza Gminy Osieczna do przekazania uprawnień do</w:t>
        <w:br/>
        <w:t>zaciągania zobowiązań, o których mowa w ust. 1 kierownikom jednostek organizacyjnych Gminy,</w:t>
        <w:br/>
        <w:t>podczas gdy w załączniku Nr 2 „Wykaz przedsięwzięć do WPF” dla wszystkich określonych w tym</w:t>
        <w:br/>
        <w:t>załączniku przedsięwzięć jednostką odpowiedzialną lub koordynująca jest Urząd Gminy.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względzie Skład Orzekający postanowił jak w sentencji.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1260" w:firstLine="0"/>
        <w:jc w:val="righ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12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12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/>
        <w:ind w:left="0" w:right="140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: Od opinii zawartej w niniejszej uchwale służy odwołanie do składu Kolegium Regionalnej</w:t>
        <w:br/>
        <w:t>Izby 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201" w:right="1214" w:bottom="1527" w:left="1101" w:header="0" w:footer="109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491490</wp:posOffset>
              </wp:positionV>
              <wp:extent cx="673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73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90000000000003pt;margin-top:38.700000000000003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</w:lvl>
  </w:abstractNum>
  <w:abstractNum w:abstractNumId="8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główek lub stopka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8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główek lub stopka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…………</dc:title>
  <dc:subject/>
  <dc:creator/>
  <cp:keywords/>
</cp:coreProperties>
</file>