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LII.366.2023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kwietnia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szczegółowych zasad, sposobu i trybu umarzania, odraczania terminu zapłaty i rozkładania na raty płatności należności pieniężnych o charakterze cywilnoprawnym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zmianami)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2,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zmianami) Rada Miejska Gminy Osieczna uchwala, co następuje: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naruszając odrębnych przepisów, określa szczegółowe zasady, sposób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umarzania, odraczania terminu zapłaty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rozkładania na raty płatności należności pieniężnych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cywilnoprawnym przypadających Gminie Osieczna oraz jednostkom budżetowym Gminy Osieczna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instytucjom kultury, dla których organizatorem jest Gmina Osieczna - zwanymi dalej „jednostkami”, oraz określa warunki dopuszczalności pomocy publicznej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ulga stanowić będzie pomoc publiczną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wskazuje organ uprawniony do udzielania tych ulg.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Należności pieniężne mające charakter cywilnoprawny, przypadające Gminie Osieczna lub jednostkom, na wniosek dłużnika,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§ 8: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przypadkach uzasadnionych ważnym interesem dłużnika lub interesem publicznym - mogą być umarzane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całości, a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przypadkach uzasadnionych względami społecznymi lub gospodarczymi,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możliwościami płatniczymi dłużnika, mogą być umarzane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części, terminy spłaty całości albo części należności mogą zostać odroczone lub płatność całości albo części należności może zostać rozłożona na raty.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umarzania należności przypadających jednostkom uprawnieni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kierownik określonej jednostki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należności przypadającej tej jednostce, jeżeli wartość należności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przekracza 10-krotności kwoty przeciętnego miesięcznego wynagrodzenia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poprzedzającym podjęcie decyzji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umorzeniu, ogłoszonego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Rzeczypospolitej Polskiej "Monitor Polski" przez Prezesa Głównego Urzędu Statystycznego dla celów naliczania odpisu na zakładowy fundusz świadczeń socjalnych,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Gminy Osieczna - jeżeli wartość należności jest wyższa niż 10-krotność kwoty przeciętnego wynagrodzenia,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ale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przekracza 20-krotności tej kwoty,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Miejska Gminy Osieczna - jeżeli wartość należności jest wyższa niż 20-krotność kwoty przeciętnego wynagrodzenia,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umarzania należności przypadających Gminie Osieczna uprawniony jest Burmistrz Gminy Osieczna,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wartość należności jest wyższa niż 20-krotność kwoty przeciętnego wynagrodzenia,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do umarzania należności uprawniona jest Rada Miejska Gminy Osieczna.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 wartość należności,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rozumie się należność główną.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Umorzenie należności głównej pociąga za sobą umorzenie należności ubocznych. Jeżeli umorzenie dotyczy części należności głównej,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odpowiednim stosunku do tej części należności podlegają umorzeniu należności uboczne.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 właściwy do umarzania należności głównej jest również uprawniony do umarzania odsetek oraz innych należności ubocznych.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Umorzenie należności,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3, następuje odpowiednio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pisemnego oświadczenia kierownika jednostki bądź Zarządzenia Burmistrza albo uchwały Rady Miejskiej Gminy Osieczna.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odroczenia terminu zapłaty należności lub rozłożenia płatności należności na raty uprawniony jest kierownik jednostki.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 odroczenia terminu płatności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dłuższy niż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 spłaty należności rozłożonej na raty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dłuższy niż 36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należności pieniężnej, której termin płatności odroczono lub którą rozłożono na raty,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pobiera się odsetek za opóźnienie za okres od podjęcia decyzji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odroczeniu do upływu terminu zapłaty.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dłużnik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spłaci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pełnej wysokości ustalonych rat, pozostała do spłaty należność staje się natychmiast wymagalna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należnymi odsetkami za opóźnienie,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również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odsetkami,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obowiązki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1-4 wobec należności Gminy Osieczna wykonuje Burmistrz Gminy Osieczna.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ulg,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6,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umowy cywilnoprawnej, poprzedzonej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 przewidzianej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Zarządzeniem Burmistrza Gminy Osieczna.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Ulgi,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być stosowane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urzędu jeżeli: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fizyczna - zmarła,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pozostawiając żadnego majątku albo pozostawiła majątek niepodlegający egzekucji na podstawie odrębnych przepisów, albo pozostawiła przedmioty codziennego użytku domowego, których łączna wartość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przekracza kwoty 6000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prawna - została wykreślona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właściwego rejestru osób prawnych przy jednoczesnym braku majątku,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którego można by egzekwować należność,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odpowiedzialność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należności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przechodzi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mocy prawa na osoby trzecie;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zachodzi uzasadnione przypuszczenie, 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postępowaniu egzekucyjnym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 się kwoty wyższej od kosztów dochodzenia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egzekucji tej należności lub postępowanie egzekucyjne okazało się nieskuteczne;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 organizacyjna nieposiadająca osobowości prawnej uległa likwidacji;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zachodzi interes publiczny.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stosunku do dłużników będących podmiotami prowadzącymi działalność gospodarczą stosowanie umorzeń, odraczania terminu płatności lub rozkładania na raty spłaty należności pieniężnej, stanowiących pomoc publiczną, odbywać się będzie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pomocy de minimis.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ulgi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umorzenia, odroczenia lub rozłożenia na raty spłaty należności pieniężnych,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5) niniejszej uchwały podmiotom prowadzącym działalność gospodarczą następuje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Rozporządzenia Komisji Europejskiej nr 1407/2013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stosowania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funkcjonowaniu Unii Europejskiej do pomocy de minimis (Dz. Urz. UE L 352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24.12.2013, s.1,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oraz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pomocy publicznej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pomocy de minimis, podmiotowi prowadzącemu działalność gospodarczą, następuje do wysokości 200.000 EUR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trzech lat podatkowych 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sektorze transportu drogowego towarów do wysokości 100.000 EUR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trzech lat podatkowych, biorąc pod uwagę uzyskaną pomoc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bieżącym oraz dwóch poprzedzających go latach podatkowych.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Podmioty zamierzające skorzystać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na podstawie przedmiotowej uchwały są,                     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poniżej, zobowiązane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przedłożenia wszystkich zaświadczeń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de minimis, jakie otrzymały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ubiegają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dwóch poprzedzających go lat podatkowych lub złożenia oświadczenia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wielkości pomocy de minimis otrzymanej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okresie albo oświadczenia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nieotrzymaniu pomocy de minimis, jeśli podmiot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otrzymał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roku,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ubiega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dwóch poprzedzających go lat podatkowych,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przedłożenia wszystkich zaświadczeń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lub rybołówstwie, jakie otrzymały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ubiegają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dwóch poprzedzających go lat podatkowych lub złożenia oświadczenia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wielkości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lub rybołówstwie otrzymanej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okresie albo oświadczenia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nieotrzymaniu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lub rybołówstwie, jeśli podmiot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otrzymał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lub rybołówstwie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roku,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ubiega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dwóch poprzedzających go lat podatkowych,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przedłożenia innych informacji wymaganych przepisami rozporządzenia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zakresu informacji przedstawianych przez podmiot ubiegający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de minimis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53,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ulgi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umorzenia, odroczenia lub rozłożenia na raty spłaty należności pieniężnych,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podmiotom prowadzącym działalność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lub rybołówstwie następuje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rozporządzeń Komisji Europejskiej: nr 1408/2013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stosowania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funkcjonowaniu Unii Europejskiej do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sektorze rolnym (Dz. Urz. UE L 352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24.12.2013, s. 9,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 nr 717/2014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stosowania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funkcjonowaniu Unii Europejskiej do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sektorze rybołówstwa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akwakultury (Dz. Urz. UE L 190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28.06.2014, s. 45,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oraz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dotyczących pomocy publicznej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5, zamierzające skorzystać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na podstawie przedmiotowej uchwały są zobowiązane do przedłożenia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wnioskiem: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wszystkich zaświadczeń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de minimis oraz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lub rybołówstwie, jakie otrzymały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ubiegają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dwóch poprzedzających go lat podatkowych albo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wielkości pomocy de minimis oraz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lub rybołówstwie, jakie otrzymały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okresie, albo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nieotrzymaniu takiej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okresie,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rozporządzenia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                  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informacji składanych przez podmioty ubiegające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de minimis                           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lub rybołówstwie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121,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810).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Gminy Osieczna.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obowiązuje 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XXXVI/335/2010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Osiecznej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szczegółowych zasad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trybu umarzania, odraczania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rozkładania na raty spłaty należności pieniężnych mających charakter cywilnoprawny oraz wskazania organów do tego upoważnionych.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>do uchwały nr LII.366.2023 Rady Miejskiej Gminy Osieczna z dnia 25 kwietnia 2023 r. w sprawie szczegółowych zasad, sposobu i trybu umarzania, odraczania terminu zapłaty i rozkładania na raty płatności należności pieniężnych o charakterze cywilnoprawnym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ustawą z dnia 27 sierpnia 2009 r. o finansach publicznych (t.j. Dz. U. z 2022 r. poz. 1634 ze zm.) do kompetencji organu stanowiącego jednostki samorządu terytorialnego należy: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określenie szczegółowych zasad, sposobu i trybu udzielania ulg w postaci umarzania, odraczania terminu zapłaty i rozkładania na raty należności pieniężnych o charakterze cywilnoprawnym przypadających Gminie Osieczna,</w:t>
        <w:tab/>
        <w:t>jednostkom budżetowym Gminy Osieczna, instytucjom kultury, dla których organizatorem jest Gmina Osieczna,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określenie warunków dopuszczalności pomocy publicznej w przypadkach, w których ulga stanowić będzie pomoc publiczną,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wskazanie organu lub osób uprawnionych do ich udzielania.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Projekt niniejszej uchwały, zgodnie z art. 7 ust. 3 i 3a ustawy z dnia 30 kwietnia 2004 roku                  o postępowaniu w sprawach dotyczących pomocy publicznej (t.j. Dz. U. z 2021 r., poz. 743 ze zm.) został zgłoszony Prezesowi Urzędu Ochrony Konkurencji i Konsumentów oraz Ministrowi Rolnictwa i Rozwoju Wsi.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Urząd Ochrony Konkurencji i Konsumentów oraz Minister Rolnictwa i Rozwoju Wsi nie wnieśli zastrzeżeń do projektu uchwały.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podjęcie przedmiotowej uchwały jest w pełni uzasadnione.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8F54C959-C5EB-4E05-BFF0-F97BB0A40331.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8F54C959-C5EB-4E05-BFF0-F97BB0A40331.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LII.366.2023 z dnia 25 kwietnia 2023 r.</dc:title>
  <dc:subject>w sprawie szczegółowych zasad, sposobu i^trybu umarzania, odraczania terminu zapłaty i^rozkładania na raty płatności należności pieniężnych o^charakterze cywilnoprawnym</dc:subject>
  <dc:creator>m.skorupka</dc:creator>
  <cp:lastModifiedBy>m.skorupka</cp:lastModifiedBy>
  <cp:revision>1</cp:revision>
  <dcterms:created xsi:type="dcterms:W3CDTF">2023-04-26T09:33:23Z</dcterms:created>
  <dcterms:modified xsi:type="dcterms:W3CDTF">2023-04-26T09:33:23Z</dcterms:modified>
  <cp:category>Akt prawny</cp:category>
</cp:coreProperties>
</file>