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63500" distR="197485" simplePos="0" relativeHeight="125829378" behindDoc="0" locked="0" layoutInCell="1" allowOverlap="1">
            <wp:simplePos x="0" y="0"/>
            <wp:positionH relativeFrom="page">
              <wp:posOffset>1050290</wp:posOffset>
            </wp:positionH>
            <wp:positionV relativeFrom="paragraph">
              <wp:posOffset>45720</wp:posOffset>
            </wp:positionV>
            <wp:extent cx="487680" cy="1322705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87680" cy="13227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1534795</wp:posOffset>
                </wp:positionH>
                <wp:positionV relativeFrom="paragraph">
                  <wp:posOffset>1063625</wp:posOffset>
                </wp:positionV>
                <wp:extent cx="133985" cy="14351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98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rrJ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20.85000000000001pt;margin-top:83.75pt;width:10.550000000000001pt;height:11.3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rrJ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03505" distB="79375" distL="114300" distR="3692525" simplePos="0" relativeHeight="125829379" behindDoc="0" locked="0" layoutInCell="1" allowOverlap="1">
                <wp:simplePos x="0" y="0"/>
                <wp:positionH relativeFrom="page">
                  <wp:posOffset>1556385</wp:posOffset>
                </wp:positionH>
                <wp:positionV relativeFrom="paragraph">
                  <wp:posOffset>116205</wp:posOffset>
                </wp:positionV>
                <wp:extent cx="1490345" cy="19494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034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F3A1B5"/>
                                <w:spacing w:val="0"/>
                                <w:w w:val="7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Urząd Gminy Osieczna SEK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22.55pt;margin-top:9.1500000000000004pt;width:117.35000000000001pt;height:15.35pt;z-index:-125829374;mso-wrap-distance-left:9.pt;mso-wrap-distance-top:8.1500000000000004pt;mso-wrap-distance-right:290.75pt;mso-wrap-distance-bottom:6.2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F3A1B5"/>
                          <w:spacing w:val="0"/>
                          <w:w w:val="7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Urząd Gminy Osieczna SEK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4125595" distR="113665" simplePos="0" relativeHeight="125829381" behindDoc="0" locked="0" layoutInCell="1" allowOverlap="1">
                <wp:simplePos x="0" y="0"/>
                <wp:positionH relativeFrom="page">
                  <wp:posOffset>5567680</wp:posOffset>
                </wp:positionH>
                <wp:positionV relativeFrom="paragraph">
                  <wp:posOffset>12700</wp:posOffset>
                </wp:positionV>
                <wp:extent cx="1057910" cy="37782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7910" cy="3778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Elektronicznie podpisany przez: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Zdzisław Drost; RIO</w:t>
                              <w:br/>
                              <w:t>dnia 21 kwietnia 2023 r.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38.40000000000003pt;margin-top:1.pt;width:83.299999999999997pt;height:29.75pt;z-index:-125829372;mso-wrap-distance-left:324.85000000000002pt;mso-wrap-distance-right:8.950000000000001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Elektronicznie podpisany przez: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Zdzisław Drost; RIO</w:t>
                        <w:br/>
                        <w:t>dnia 21 kwietnia 2023 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2772410</wp:posOffset>
                </wp:positionH>
                <wp:positionV relativeFrom="paragraph">
                  <wp:posOffset>545465</wp:posOffset>
                </wp:positionV>
                <wp:extent cx="234950" cy="170815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49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BP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18.30000000000001pt;margin-top:42.950000000000003pt;width:18.5pt;height:13.450000000000001pt;z-index:-12582937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1"/>
        <w:keepNext/>
        <w:keepLines/>
        <w:widowControl w:val="0"/>
        <w:shd w:val="clear" w:color="auto" w:fill="auto"/>
        <w:tabs>
          <w:tab w:pos="524" w:val="left"/>
          <w:tab w:pos="1308" w:val="left"/>
        </w:tabs>
        <w:bidi w:val="0"/>
        <w:spacing w:before="0" w:after="0" w:line="178" w:lineRule="auto"/>
        <w:ind w:left="0" w:right="0" w:firstLine="0"/>
        <w:jc w:val="left"/>
      </w:pPr>
      <w:bookmarkStart w:id="0" w:name="bookmark0"/>
      <w:r>
        <w:rPr>
          <w:color w:val="8F88CB"/>
          <w:spacing w:val="0"/>
          <w:w w:val="100"/>
          <w:position w:val="0"/>
          <w:shd w:val="clear" w:color="auto" w:fill="auto"/>
          <w:lang w:val="pl-PL" w:eastAsia="pl-PL" w:bidi="pl-PL"/>
        </w:rPr>
        <w:t>,</w:t>
        <w:tab/>
      </w:r>
      <w:r>
        <w:rPr>
          <w:rFonts w:ascii="Arial Unicode MS" w:eastAsia="Arial Unicode MS" w:hAnsi="Arial Unicode MS" w:cs="Arial Unicode MS"/>
          <w:color w:val="8F88CB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।</w:t>
      </w:r>
      <w:r>
        <w:rPr>
          <w:color w:val="8F88CB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C29AB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[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Nr SO-9/0954/156/2023</w:t>
      </w:r>
      <w:bookmarkEnd w:id="0"/>
    </w:p>
    <w:p>
      <w:pPr>
        <w:pStyle w:val="Style16"/>
        <w:keepNext w:val="0"/>
        <w:keepLines w:val="0"/>
        <w:widowControl w:val="0"/>
        <w:shd w:val="clear" w:color="auto" w:fill="auto"/>
        <w:tabs>
          <w:tab w:leader="hyphen" w:pos="1939" w:val="left"/>
        </w:tabs>
        <w:bidi w:val="0"/>
        <w:spacing w:before="0" w:after="0" w:line="185" w:lineRule="auto"/>
        <w:ind w:left="0" w:right="0" w:firstLine="220"/>
        <w:jc w:val="left"/>
      </w:pPr>
      <w:r>
        <w:rPr>
          <w:color w:val="8F88CB"/>
          <w:spacing w:val="0"/>
          <w:w w:val="100"/>
          <w:position w:val="0"/>
          <w:shd w:val="clear" w:color="auto" w:fill="auto"/>
          <w:lang w:val="pl-PL" w:eastAsia="pl-PL" w:bidi="pl-PL"/>
        </w:rPr>
        <w:t>MłUpoZhf</w:t>
      </w:r>
      <w:r>
        <w:rPr>
          <w:color w:val="F3A1B5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1308" w:val="left"/>
        </w:tabs>
        <w:bidi w:val="0"/>
        <w:spacing w:before="0" w:after="0" w:line="185" w:lineRule="auto"/>
        <w:ind w:left="900" w:right="0" w:hanging="9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kładu Orzekającego Regionalnej Izby Obrachunkowej w Poznaniu</w:t>
        <w:br/>
      </w:r>
      <w:r>
        <w:rPr>
          <w:b/>
          <w:bCs/>
          <w:color w:val="F3A1B5"/>
          <w:spacing w:val="0"/>
          <w:w w:val="100"/>
          <w:position w:val="0"/>
          <w:shd w:val="clear" w:color="auto" w:fill="auto"/>
          <w:lang w:val="pl-PL" w:eastAsia="pl-PL" w:bidi="pl-PL"/>
        </w:rPr>
        <w:tab/>
        <w:t>j 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dnia 21 kwietnia 2023 roku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380" w:line="415" w:lineRule="auto"/>
        <w:ind w:left="1080" w:right="0" w:hanging="1080"/>
        <w:jc w:val="both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sprawie: wyrażenia opinii o sprawozdaniu z wykonania budżetu Gminy Osieczna za rok 2022</w:t>
        <w:br/>
        <w:t>wraz z informacją o stanie mienia i objaśnieniami</w:t>
      </w:r>
      <w:bookmarkEnd w:id="2"/>
    </w:p>
    <w:p>
      <w:pPr>
        <w:pStyle w:val="Style16"/>
        <w:keepNext w:val="0"/>
        <w:keepLines w:val="0"/>
        <w:widowControl w:val="0"/>
        <w:shd w:val="clear" w:color="auto" w:fill="auto"/>
        <w:tabs>
          <w:tab w:pos="1939" w:val="left"/>
        </w:tabs>
        <w:bidi w:val="0"/>
        <w:spacing w:before="0" w:after="0" w:line="415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Regionalnej Izby Obrachunkowej w Poznaniu wyznaczony Zarządzeniem</w:t>
        <w:br/>
        <w:t>Nr 6/2023 Prezesa Regionalnej Izby Obrachunkowej w Poznaniu z dnia 1 lutego 2023 r. w osobach:</w:t>
        <w:br/>
        <w:t>Przewodniczący:</w:t>
        <w:tab/>
        <w:t>Zdzisław Drost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1939" w:val="left"/>
        </w:tabs>
        <w:bidi w:val="0"/>
        <w:spacing w:before="0" w:after="0" w:line="41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Członkowie:</w:t>
        <w:tab/>
        <w:t>Małgorzata Lisowska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415" w:lineRule="auto"/>
        <w:ind w:left="2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Małgorzata Okrent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20" w:line="415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na podstawie art. 13 pkt 5 i art. 19 ust. 2 ustawy z dnia 7 października 1992 r. o regionalnych</w:t>
        <w:br/>
        <w:t>izbach obrachunkowych (Dz. U. z 2022 r., poz. 1668) w związku z art. 267 ustawy z dnia 27 sierpnia</w:t>
        <w:br/>
        <w:t>2009 r. o finansach publicznych (Dz. U. 2022 poz. 1634 ze zm.) wyraża o przedłożonym przez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Burmistrza Gminy Osieczna sprawozdaniu z wykonania budżetu za 2022 rok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oraz informacji o</w:t>
        <w:br/>
        <w:t>stanie mienia jednostki samorządu terytorialnego i objaśnieniami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opinię pozytywną.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  <w:bookmarkEnd w:id="4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Przedmiotem badania stanowiącym podstawę do wydania niniejszej opinii było „Sprawozdanie</w:t>
        <w:br/>
        <w:t>z wykonania budżetu Gminy Osieczna za 2022 rok” wraz z informacją o stanie mienia jednostki</w:t>
        <w:br/>
        <w:t>samorządu terytorialnego i objaśnieniami przedłożone tut. Izbie w systemie e-Nadzór w dniu 31 marca</w:t>
        <w:br/>
        <w:t>2023 roku.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przed wydaniem opinii zapoznał się także z uchwałą budżetową wg stanu na</w:t>
        <w:br/>
        <w:t>dzień 31 grudnia 2022 r. (po zm.), uchwałą w sprawie Wieloletniej Prognozy Finansowej (po zm.) na</w:t>
        <w:br/>
        <w:t>lata 2022-2028 oraz ze sprawozdaniami budżetowymi Jednostki za 2022 rok.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Przedłożone „Sprawozdanie” zawiera część opisową, stanowiącą objaśnienia oraz część</w:t>
        <w:br/>
        <w:t>tabelaryczną.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4" w:val="left"/>
        </w:tabs>
        <w:bidi w:val="0"/>
        <w:spacing w:before="0" w:after="0"/>
        <w:ind w:left="56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części opisowej „Sprawozdania” zawarto informację o planowanych i wykonanych</w:t>
        <w:br/>
        <w:t>dochodach, wydatkach, przychodach, rozchodach i wyniku budżetu oraz zobowiązaniach.</w:t>
        <w:br/>
        <w:t>Omówiono wykonanie dochodów prezentując ich wykonanie z poszczególnych źródeł</w:t>
        <w:br/>
        <w:t>z podziałem na dochody bieżące i majątkowe z omówieniem dochodów własnych, subwencji,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środków pochodzących ze źródeł zagranicznych oraz dotacji z budżetu państwa.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5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Omówiono realizację wydatków w poszczególnych działach i rozdziałach klasyfikacji</w:t>
        <w:br/>
        <w:t>budżetowej, z uwzględnieniem wydatków bieżących i majątkowych. Omówiono także</w:t>
        <w:br/>
        <w:t>poszczególne załączniki do uchwały budżetowej.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4" w:val="left"/>
        </w:tabs>
        <w:bidi w:val="0"/>
        <w:spacing w:before="0" w:after="0"/>
        <w:ind w:left="52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części tabelarycznej przedstawiono plan i wykonanie dochodów i wydatków w pełnej</w:t>
        <w:br/>
        <w:t>szczegółowości klasyfikacji budżetowej.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5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odrębnych załącznikach zaprezentowano także m.in. wykonanie przychodów i rozchodów</w:t>
        <w:br/>
        <w:t>budżetu, wydatki majątkowe zaplanowane do realizacji i wykonane w roku 2022, zestawienie</w:t>
        <w:br/>
        <w:t>dotacji udzielonych z budżetu Gminy oraz wydatków realizowanych w ramach funduszu</w:t>
        <w:br/>
        <w:t>sołeckiego, dochody z tytułu opłat za wydawanie zezwoleń na sprzedaż napojów alkoholowych</w:t>
        <w:br/>
        <w:t>oraz wydatki związane z realizacją gminnego programu profilaktyki i rozwiązywania</w:t>
        <w:br/>
        <w:t>problemów alkoholowych oraz gminnego programu przeciwdziałania narkomanii, dochody z</w:t>
        <w:br/>
        <w:t>tytułu opłat i kar za korzystanie ze środowiska oraz wydatki nimi sfinansowane, wykonanie</w:t>
        <w:br/>
        <w:t>przychodów i kosztów samorządowych zakładów budżetowych.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49" w:val="left"/>
        </w:tabs>
        <w:bidi w:val="0"/>
        <w:spacing w:before="0" w:after="0"/>
        <w:ind w:left="52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„Sprawozdaniu” (w części tabelarycznej i opisowej) przedstawiono zmiany w planie</w:t>
        <w:br/>
        <w:t>wydatków na realizację programów finansowanych z udziałem środków, o których mowa w</w:t>
        <w:br/>
        <w:t>art. 5 ust. 1 pkt 2 i pkt 3 ustawy o finansach publicznych, dokonane w trakcie roku budżetowego</w:t>
        <w:br/>
        <w:t>oraz przedstawiono stopień zaawansowania realizacji programów wieloletnich zapisanych w</w:t>
        <w:br/>
        <w:t>Wieloletniej Prognozie Finansowej.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8" w:val="left"/>
        </w:tabs>
        <w:bidi w:val="0"/>
        <w:spacing w:before="0" w:after="0"/>
        <w:ind w:left="52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ocenie Składu Orzekającego przedłożone „Sprawozdanie z wykonania budżetu za 2022 rok”</w:t>
        <w:br/>
        <w:t>spełnia wymogi określone w art. 269 ustawy o finansach publicznych.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2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 Analiza porównawcza prezentowanych danych w „Sprawozdaniu z wykonania budżetu” z</w:t>
        <w:br/>
        <w:t>kwotami planowanymi w budżecie na 2022 rok oraz danymi zawartymi w przedłożonych</w:t>
        <w:br/>
        <w:t>sprawozdaniach budżetowych wykazała zgodność kwot planowanych i wykonanych w</w:t>
        <w:br/>
        <w:t>dokumentach przedłożonych tut. Izbie, za wyjątkiem uchybień wskazanych w punkcie VII.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54" w:val="left"/>
        </w:tabs>
        <w:bidi w:val="0"/>
        <w:spacing w:before="0" w:after="0"/>
        <w:ind w:left="52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przeprowadzonego badania Skład Orzekający ustalił, że budżet za rok 2022 został</w:t>
        <w:br/>
        <w:t>wykonany z nadwyżką budżetową w kwocie 6.386.334,47 zł, bowiem: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66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dochody wykonano w wysokości 60.867.576,80 zł, tj. 96,99 %,</w:t>
      </w:r>
    </w:p>
    <w:p>
      <w:pPr>
        <w:pStyle w:val="Style1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66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wydatki wykonano w wysokości 54.481.242,33 zł, tj. 86,64 %.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5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Dochody bieżące wykonano w kwocie 57.323.395,83 zł i wydatki bieżące w kwocie</w:t>
        <w:br/>
        <w:t>43.003.692,40 zł, co spełnia wymóg z art. 242 ust. 2 ustawy o finansach publicznych.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5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Przychody zrealizowano w kwocie 14.529.670,18 zł, w tym z tytułu wolnych środków, o których</w:t>
        <w:br/>
        <w:t>mowa w art.217 ust.2 pkt 6 ustawy o finansach publicznych w kwocie 2.800.000,00 zł, nadwyżki</w:t>
        <w:br/>
        <w:t>z lat ubiegłych w kwocie 10.672.922,84 zł, niewykorzystanych środków pieniężnych na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rachunku bieżącym budżetu, wynikających z rozliczenia dochodów i wydatków nimi</w:t>
        <w:br/>
        <w:t>finansowanych związanych ze szczególnymi zasadami wykonywania budżetu określonymi w</w:t>
        <w:br/>
        <w:t>odrębnych ustawach w kwocie 953.370,64 zł oraz przychodów wynikających z rozliczenia</w:t>
        <w:br/>
        <w:t>środków określonych w art. 5 ust. 1 pkt 2 ustawy i dotacji na realizację programu, projektu lub</w:t>
        <w:br/>
        <w:t>zadania finansowanego z udziałem tych środków w kwocie 103.376,70 zł.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415" w:lineRule="auto"/>
        <w:ind w:left="5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okresie sprawozdawczym spłacono raty z zaciągniętych pożyczek i kredytów w wysokości</w:t>
        <w:br/>
        <w:t>400.000,00 zł, co stanowi 100,00 % planowanych rozchodów z tego tytułu. Zaplanowano</w:t>
        <w:br/>
        <w:t>również rozchody z tytułu przelewów na rachunki lokat w kwocie 530.817,50 zł (wykonanie w</w:t>
        <w:br/>
        <w:t>kwocie 0,00 zł).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415" w:lineRule="auto"/>
        <w:ind w:left="5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Dane te potwierdza sprawozdanie Rb-NDS o nadwyżce/deficycie za okres od początku roku do</w:t>
        <w:br/>
        <w:t>dnia 31 grudnia roku 2022 oraz informacje zawarte w sprawozdaniu (str. 58).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415" w:lineRule="auto"/>
        <w:ind w:left="5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koniec 2022 roku Jednostka posiadała zobowiązania w kwocie 2.400.000,00 zł (z tytułu</w:t>
        <w:br/>
        <w:t>pożyczek i kredytów). Kwota ta stanowi 3,94 % wykonanych dochodów.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415" w:lineRule="auto"/>
        <w:ind w:left="5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Dane te potwierdza sprawozdanie Rb-Z o stanie zobowiązań według tytułów dłużnych oraz</w:t>
        <w:br/>
        <w:t>poręczeń i gwarancji wg stanu na koniec IV kwartału 2022 roku.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09" w:val="left"/>
        </w:tabs>
        <w:bidi w:val="0"/>
        <w:spacing w:before="0" w:after="0" w:line="415" w:lineRule="auto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Wykonanie dochodów z tytułu opłat za wydawanie zezwoleń na sprzedaż napojów alkoholowych</w:t>
        <w:br/>
        <w:t>i wpływów z części opłaty za zezwolenie na sprzedaż napojów alkoholowych w obrocie</w:t>
        <w:br/>
        <w:t>hurtowym oraz wydatków związanych z realizacją gminnego programu profilaktyki i</w:t>
        <w:br/>
        <w:t>rozwiązywania problemów alkoholowych oraz gminnego programu przeciwdziałania</w:t>
        <w:br/>
        <w:t>narkomanii obrazuje prezentuje poniższa tabela:</w:t>
      </w:r>
    </w:p>
    <w:tbl>
      <w:tblPr>
        <w:tblOverlap w:val="never"/>
        <w:jc w:val="center"/>
        <w:tblLayout w:type="fixed"/>
      </w:tblPr>
      <w:tblGrid>
        <w:gridCol w:w="1248"/>
        <w:gridCol w:w="1334"/>
        <w:gridCol w:w="1344"/>
        <w:gridCol w:w="1104"/>
        <w:gridCol w:w="1334"/>
        <w:gridCol w:w="1354"/>
      </w:tblGrid>
      <w:tr>
        <w:trPr>
          <w:trHeight w:val="33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Dochody w zł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 w zł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Wykonanie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320" w:right="0" w:firstLine="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75618</w:t>
              <w:br/>
              <w:t>§ 0480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190.000,00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196.853,32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85153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75618</w:t>
              <w:br/>
              <w:t>§0270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87.071,20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87.071,20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85154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370.026,20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242.281,26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277.071,20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283.942,52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371.062,20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242.281,26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415" w:lineRule="auto"/>
        <w:ind w:left="2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przypomina, że zgodnie z art 18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ustawy z dnia 26 października 1982 r. o</w:t>
        <w:br/>
        <w:t>wychowaniu w trzeźwości i przeciwdziałaniu alkoholizmowi (Dz. U. z 2023 r. poz. 165, z póżn.</w:t>
        <w:br/>
        <w:t xml:space="preserve">zm.)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„Dochody z opłat za zezwolenia wydane na podstawie art. 18 i art. 18’ oraz dochody z opłat</w:t>
        <w:br/>
        <w:t>określonych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w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art. 11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1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będą wykorzystywane na realizację: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83" w:val="left"/>
        </w:tabs>
        <w:bidi w:val="0"/>
        <w:spacing w:before="0" w:after="120" w:line="415" w:lineRule="auto"/>
        <w:ind w:left="520" w:right="0" w:hanging="24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gminnych programów profilaktyki i rozwiązywania problemów alkoholowych oraz</w:t>
        <w:br/>
        <w:t>przeciwdziałania narkomanii, o których mowa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w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art. 4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1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ust. 2,</w:t>
      </w:r>
    </w:p>
    <w:p>
      <w:pPr>
        <w:pStyle w:val="Style1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80" w:val="left"/>
        </w:tabs>
        <w:bidi w:val="0"/>
        <w:spacing w:before="0" w:after="0"/>
        <w:ind w:left="520" w:right="0" w:hanging="26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zadań realizowanych przez placówkę wsparcia dziennego, w której mowa w art. 9 pkt 2 ustawy</w:t>
        <w:br/>
        <w:t>z dnia 9 czerwca 2011 r. o wspieraniu rodziny i systemie pieczy zastępczej, w ramach gminnego</w:t>
        <w:br/>
        <w:t>programu profilaktyki i rozwiązywania problemów alkoholowych oraz przeciwdziałania</w:t>
        <w:br/>
        <w:t>narkomanii, o którym mowa w art. 4‘ ust. 2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6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i nie mogą być przeznaczone na inne cele''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36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Ponadto w myśl art. 9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ust. 4 ustawy o wychowaniu w trzeźwości i przeciwdziałaniu</w:t>
        <w:br/>
        <w:t>alkoholizmowi środki pochodzące z części opłaty za zezwolenie na sprzedaż napojów</w:t>
        <w:br/>
        <w:t>alkoholowych w obrocie hurtowym (określone w art. 9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ust. 11 i 21 ustawy) gmina zobowiązana</w:t>
        <w:br/>
        <w:t xml:space="preserve">jest przeznaczyć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„na działania mające na celu realizację lokalnej międzysektorowej polityki</w:t>
        <w:br/>
        <w:t>przeciwdziałania negatywnym skutkom spożywania alkoholu".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21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wyniku analizy „Sprawozdania” z wykonania planu wydatków budżetowych Rb-28S:</w:t>
      </w:r>
    </w:p>
    <w:p>
      <w:pPr>
        <w:pStyle w:val="Style1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21" w:val="left"/>
        </w:tabs>
        <w:bidi w:val="0"/>
        <w:spacing w:before="0" w:after="0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 stwierdzono przypadków przekroczenia planowanych wydatków budżetowych,</w:t>
      </w:r>
    </w:p>
    <w:p>
      <w:pPr>
        <w:pStyle w:val="Style1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45" w:val="left"/>
        </w:tabs>
        <w:bidi w:val="0"/>
        <w:spacing w:before="0" w:after="0"/>
        <w:ind w:left="86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suma wykonanych wydatków i zobowiązań (z pominięciem paragrafów wynagrodzeń i</w:t>
        <w:br/>
        <w:t>pochodnych od wynagrodzeń) nie przekracza planu wydatków ustalonego w budżecie.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54" w:val="left"/>
        </w:tabs>
        <w:bidi w:val="0"/>
        <w:spacing w:before="0" w:after="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We wszystkich podziałkach klasyfikacji budżetowej środki na Zakładowy Fundusz Świadczeń</w:t>
        <w:br/>
        <w:t>Socjalnych przekazano w wysokości 100% planu.</w:t>
      </w:r>
    </w:p>
    <w:p>
      <w:pPr>
        <w:pStyle w:val="Style1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35" w:val="left"/>
        </w:tabs>
        <w:bidi w:val="0"/>
        <w:spacing w:before="0" w:after="200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stwierdza, że w niżej wymienionych podziałkach klasyfikacji budżetowej</w:t>
        <w:br/>
        <w:t>poniesione zostały wydatki związane z wypłatą odsetek:</w:t>
      </w:r>
    </w:p>
    <w:tbl>
      <w:tblPr>
        <w:tblOverlap w:val="never"/>
        <w:jc w:val="center"/>
        <w:tblLayout w:type="fixed"/>
      </w:tblPr>
      <w:tblGrid>
        <w:gridCol w:w="941"/>
        <w:gridCol w:w="941"/>
        <w:gridCol w:w="950"/>
        <w:gridCol w:w="3715"/>
        <w:gridCol w:w="1085"/>
        <w:gridCol w:w="1363"/>
      </w:tblGrid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Nazwa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Wykonanie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Pozostałe 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18.37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75022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Pozostałe 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0,06</w:t>
            </w:r>
          </w:p>
        </w:tc>
      </w:tr>
      <w:tr>
        <w:trPr>
          <w:trHeight w:val="12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4560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Odsetki od dotacji oraz płatności:</w:t>
              <w:br/>
              <w:t>wykorzystanych niezgodnie z naruszeniem</w:t>
              <w:br/>
              <w:t>procedur, o których mowa w art. 184 ustawy,</w:t>
              <w:br/>
              <w:t>pobranych nienależnie lub w nadmiernej</w:t>
              <w:br/>
              <w:t>wysokości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548,76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415" w:lineRule="auto"/>
        <w:ind w:left="36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Odnośnie wyżej wskazanych odsetek Burmistrz na str. 101 „Sprawozdania” zawarł informacje w</w:t>
        <w:br/>
        <w:t>odniesieniu do:</w:t>
      </w:r>
    </w:p>
    <w:p>
      <w:pPr>
        <w:pStyle w:val="Style1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91" w:val="left"/>
        </w:tabs>
        <w:bidi w:val="0"/>
        <w:spacing w:before="0" w:after="0" w:line="415" w:lineRule="auto"/>
        <w:ind w:left="6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dz. 855 rozdz. 85502 § 4560 -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są to odsetki od dotacji wykorzystanej niezgodnie z</w:t>
        <w:br/>
        <w:t>przeznaczeniem lub pobranych nienależnie wypłaconych ze środków budżetu państwa</w:t>
        <w:br/>
        <w:t>świadczeń wychowawczych i rodzinnych (kwota 548,76 zł);</w:t>
      </w:r>
    </w:p>
    <w:p>
      <w:pPr>
        <w:pStyle w:val="Style1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91" w:val="left"/>
        </w:tabs>
        <w:bidi w:val="0"/>
        <w:spacing w:before="0" w:after="0" w:line="415" w:lineRule="auto"/>
        <w:ind w:left="6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dz. 70 rozdz. 70005 § 4580 -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zapłata odsetek z tytułu płatności faktury po terminie (kwota</w:t>
        <w:br/>
        <w:t>18,37zł);</w:t>
      </w:r>
    </w:p>
    <w:p>
      <w:pPr>
        <w:pStyle w:val="Style1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6" w:val="left"/>
        </w:tabs>
        <w:bidi w:val="0"/>
        <w:spacing w:before="0" w:after="0" w:line="415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dz. 750 rozdz. 75022 § 4580 -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zapłata odsetek z tytułu płatności za fakturę (kwota 0,06 zł).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VII. Skład Orzekający wskazuje, że w przedłożonym „Sprawozdaniu” wystąpiły następujące</w:t>
        <w:br/>
        <w:t>uchybienia:</w:t>
      </w:r>
    </w:p>
    <w:p>
      <w:pPr>
        <w:pStyle w:val="Style1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26" w:val="left"/>
        </w:tabs>
        <w:bidi w:val="0"/>
        <w:spacing w:before="0" w:after="0" w:line="415" w:lineRule="auto"/>
        <w:ind w:left="68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zał. Nr 12 „Plan dochodów i wydatków finansowanych środkami Funduszu Pomocy w roku</w:t>
        <w:br/>
        <w:t>2022” w tabeli „Wydatki” w dz. 853 „Pozostałe zadania w zakresie polityki społecznej” rozdz.</w:t>
        <w:br/>
        <w:t>85395 „Pozostała działalność” wykazano § 4750 „Wynagrodzenia nauczycieli wypłacane w</w:t>
        <w:br/>
        <w:t>związku z pomocą obywatelom Ukrainy” (169,00 zł) zamiast § 4850 „Składki i inne pochodne</w:t>
        <w:br/>
        <w:t>od wynagrodzeń pracowników wypłacanych w związku z pomocą obywatelom Ukrainy”</w:t>
      </w:r>
    </w:p>
    <w:p>
      <w:pPr>
        <w:pStyle w:val="Style1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26" w:val="left"/>
        </w:tabs>
        <w:bidi w:val="0"/>
        <w:spacing w:before="0" w:after="0" w:line="415" w:lineRule="auto"/>
        <w:ind w:left="68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zał. Nr 15 „Stopień zaawansowania realizacji programów wieloletnich ujętych w wykazie</w:t>
        <w:br/>
        <w:t>przedsięwzięć do Wieloletniej prognozy Finansowej wg stanu na dzień 31 grudnia 2022 roku”</w:t>
        <w:br/>
        <w:t>wystąpiły następujące nieprawidłowości: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02" w:val="left"/>
        </w:tabs>
        <w:bidi w:val="0"/>
        <w:spacing w:before="0" w:after="0" w:line="415" w:lineRule="auto"/>
        <w:ind w:left="820" w:right="0" w:hanging="1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poz. 1.1. dla zadania pn. „Utworzenie miejsc opieki nad dziećmi do lat 3 w Gminie Osieczna”</w:t>
        <w:br/>
        <w:t>(zarówno dla przedsięwzięcia bieżącego i majątkowego) w kolumnie klasyfikacja budżetowa</w:t>
        <w:br/>
        <w:t>wykazano rozdz. 85505 zamiast rozdz. 85516,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02" w:val="left"/>
        </w:tabs>
        <w:bidi w:val="0"/>
        <w:spacing w:before="0" w:after="0" w:line="415" w:lineRule="auto"/>
        <w:ind w:left="820" w:right="0" w:hanging="1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poz. 3.13. (przedsięwzięcie majątkowe) dla zadania pn.„Budowa instalacji fotowoltaicznych</w:t>
        <w:br/>
        <w:t>na terenie Gminy Osieczna” w klasyfikacji budżetowej wykazano dz. 400 rozdz. 40005</w:t>
        <w:br/>
        <w:t>zamiast dz. 900 rozdz. 90005,</w:t>
      </w:r>
    </w:p>
    <w:p>
      <w:pPr>
        <w:pStyle w:val="Style1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02" w:val="left"/>
        </w:tabs>
        <w:bidi w:val="0"/>
        <w:spacing w:before="0" w:after="0" w:line="415" w:lineRule="auto"/>
        <w:ind w:left="820" w:right="0" w:hanging="1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poz. 3.14. dla zadania pn. „Program Uzupełniania Lokalnej i Regionalnej Infrastruktury</w:t>
        <w:br/>
        <w:t>Kolejowej Kolej + do 2028 r.” okres realizacji wykazano na lata 2023-2028 zamiast na latach</w:t>
        <w:br/>
        <w:t>2022-2028.</w:t>
      </w:r>
    </w:p>
    <w:p>
      <w:pPr>
        <w:pStyle w:val="Style1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26" w:val="left"/>
        </w:tabs>
        <w:bidi w:val="0"/>
        <w:spacing w:before="0" w:after="0" w:line="415" w:lineRule="auto"/>
        <w:ind w:left="68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części opisowej „Sprawozdania” (str. 79) w tabeli pn. „Dochody z mienia w 2022 r.” nie</w:t>
        <w:br/>
        <w:t>wykazano dochodów z dz. 700 rozdz. 70005 § 0470 „Wpływy z opłat za trwały zarząd,</w:t>
        <w:br/>
        <w:t>użytkownie i służebności” „plan” w kwocie 3.300,00 zł i „wykonanie” w kwocie 3.218,42 zł.</w:t>
        <w:br/>
        <w:t>Ponadto wykazano nieprawidłową kwotę zrealizowanych dochodów ogółem, tj. wykazano</w:t>
        <w:br/>
        <w:t>kwotę 1.613.896,57 zł zamiast kwoty 1.617.114,99 zł. Również ten błąd powtórzono w</w:t>
        <w:br/>
        <w:t>informacji o stanie mienia.</w:t>
      </w:r>
    </w:p>
    <w:p>
      <w:pPr>
        <w:pStyle w:val="Style1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26" w:val="left"/>
        </w:tabs>
        <w:bidi w:val="0"/>
        <w:spacing w:before="0" w:after="0" w:line="415" w:lineRule="auto"/>
        <w:ind w:left="68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części opisowej (str. 82) w „Informacji o zaległościach w dochodach budżetowych</w:t>
        <w:br/>
        <w:t>realizowanych przez Gminę Osieczna na dzień 31 grudnia 2022 roku” pkt. 1 „Urząd Gminy</w:t>
        <w:br/>
        <w:t>Osieczna” w części dotyczącej „Zaległości z tytułu opłat”, zaległości z tytułu opłaty</w:t>
        <w:br/>
        <w:t>adiacenckiej wykazano w kwocie 142.574,16 zł zamiast w kwocie 142.476,75 zł. Ponadto w</w:t>
        <w:br/>
        <w:t>powyższym wykazie nie wymieniono zaległości z dz. 756 rozdz. 75618 § 0920 w kwocie</w:t>
        <w:br/>
        <w:t>307,41 zł, które zostały wliczone do ogólnej kwoty zaległości.</w:t>
      </w:r>
    </w:p>
    <w:p>
      <w:pPr>
        <w:pStyle w:val="Style1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26" w:val="left"/>
        </w:tabs>
        <w:bidi w:val="0"/>
        <w:spacing w:before="0" w:after="0" w:line="415" w:lineRule="auto"/>
        <w:ind w:left="680" w:right="0" w:hanging="32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772" w:right="1164" w:bottom="1352" w:left="1290" w:header="1344" w:footer="924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części opisowej dotyczącej „Realizacji wydatków budżetowych w poszczególnych działach</w:t>
        <w:br/>
        <w:t>klasyfikacji budżetowej na dzień 31 grudnia 2022 roku” w dz. 855 „Rodzina” wydatki w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415" w:lineRule="auto"/>
        <w:ind w:left="10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ramach realizacji zadań z zakresu administracji rządowej oraz zadań zleconych gminom</w:t>
        <w:br/>
        <w:t>ustawami, na które Gmina otrzymała dotacje celowe z budżetu państwa w rozdz. 85502</w:t>
        <w:br/>
        <w:t>wykazano w kwocie 3.397.632,21 zł zamiast w kwocie 3.397.635,21 zł.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20" w:line="415" w:lineRule="auto"/>
        <w:ind w:left="108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VIII. Informacja o stanie mienia jednostki samorządu terytorialnego została opracowana z</w:t>
        <w:br/>
        <w:t>zachowaniem postanowień art. 267 ust. 1 pkt. 3 ustawy o finansach publicznych. Wykaz mienia</w:t>
        <w:br/>
        <w:t>obrazuje stan majątku, jaki gmina posiada wraz ze zmianami od dnia złożenia poprzedniej</w:t>
        <w:br/>
        <w:t>informacji, jego wartość oraz dochody uzyskane z mienia w 2022 rok, z uwagą jak w pkt VII.</w:t>
        <w:br/>
        <w:t>pkt 3 niniejszej opinii.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40" w:line="415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Wobec powyższego Skład Orzekający orzekł jak w sentencji.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60" w:line="240" w:lineRule="auto"/>
        <w:ind w:left="656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Przewodniczący</w:t>
      </w:r>
      <w:bookmarkEnd w:id="6"/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60" w:line="240" w:lineRule="auto"/>
        <w:ind w:left="6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656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Zdzisław Drost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300" w:lineRule="auto"/>
        <w:ind w:left="1520" w:right="0" w:hanging="110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760" w:right="162" w:bottom="1760" w:left="865" w:header="1332" w:footer="1332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 xml:space="preserve">Pouczenie: 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Od opinii zawartej w niniejszej uchwale służy odwołanie do Kolegium Regionalnej Izby</w:t>
        <w:br/>
        <w:t>Obrachunkowej w Poznaniu w terminie 14 dni od daty otrzymania niniejszej uchwały.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3080" w:right="0" w:firstLine="0"/>
        <w:jc w:val="left"/>
        <w:rPr>
          <w:sz w:val="19"/>
          <w:szCs w:val="19"/>
        </w:rPr>
      </w:pPr>
      <w: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168910</wp:posOffset>
                </wp:positionH>
                <wp:positionV relativeFrom="paragraph">
                  <wp:posOffset>12700</wp:posOffset>
                </wp:positionV>
                <wp:extent cx="1801495" cy="152400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0149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Urzędowe Poświadczenie Odbioru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3.300000000000001pt;margin-top:1.pt;width:141.84999999999999pt;height:12.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Urzędowe Poświadczenie Odbioru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fldChar w:fldCharType="begin"/>
      </w:r>
      <w:r>
        <w:rPr/>
        <w:instrText> HYPERLINK "https://epuap.gov.pl/warehouse/feDocContent?id=240939523&amp;ty"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https://epuap.gov.pl/warehouse/feDocContent?id=240939523&amp;ty</w:t>
      </w:r>
      <w:r>
        <w:fldChar w:fldCharType="end"/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..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UPP - Urzędowe Poświadczenie Przedłożenia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9E6068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Identyfikator Poświadczenia: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ePUAP-UPP104936153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Adresat dokumentu, którego dotyczy poświadczenie</w:t>
      </w:r>
      <w:bookmarkEnd w:id="9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E6068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adresata dokumentu: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URZĄD GMINY OSIECZNA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E6068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Identyfikator adresata: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646g0cydqn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9E6068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Rodzaj identyfikatora adresata: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ePUAP-ID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Nadawca dokumentu, którego dotyczy poświadczenie</w:t>
      </w:r>
      <w:bookmarkEnd w:id="11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E6068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nadawcy: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REGIONALNA IZBA OBRACHUNKOWA W POZNANIU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E6068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Identyfikator nadawcy: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7mvrvl626x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9E6068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Rodzaj identyfikatora nadawcy: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ePUAP-ID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Dane poświadczenia</w:t>
      </w:r>
      <w:bookmarkEnd w:id="13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E6068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Data doręczenia: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2023-04-21T14:52:31.331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E6068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Data wytworzenia poświadczenia: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2023-04-21T14:52:31.331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9E6068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Identyfikator dokumentu, którego dotyczy poświadczenie: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DOK150904385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Dane uzupełniające (opcjonalne)</w:t>
      </w:r>
      <w:bookmarkEnd w:id="15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E6068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Rodzaj informacji uzupełniającej: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Źródło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9E6068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Wartość informacji uzupełniającej: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Poświadczenie wystawione przez platformę ePUAP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E6068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Rodzaj informacji uzupełniającej: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Identyfikator ePUAP dokumentu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9E6068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Wartość informacji uzupełniającej: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150904385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E6068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Rodzaj informacji uzupełniającej: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9E6068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Wartość informacji uzupełniającej: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art 39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par. 1 k.p.a. pisma powiązane z przedłożonym dokumentem</w:t>
        <w:br/>
        <w:t>będą przesyłane za pomocą środków komunikacji elektronicznej.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E6068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Rodzaj informacji uzupełniającej: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Pouczenie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</w:pPr>
      <w:r>
        <w:rPr>
          <w:color w:val="9E6068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Wartość informacji uzupełniającej: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art 39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par. 1d k.p.a. istnieje możliwość rezygnacji z doręczania pism</w:t>
        <w:br/>
        <w:t>za pomocą środków komunikacji elektronicznej.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Dane dotyczące podpisu</w:t>
      </w:r>
      <w:bookmarkEnd w:id="17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Poświadczenie zostało podpisane - aby je zweryfikować należy użyć oprogramowania do weryfikacji podpisu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E6068"/>
          <w:spacing w:val="0"/>
          <w:w w:val="100"/>
          <w:position w:val="0"/>
          <w:shd w:val="clear" w:color="auto" w:fill="auto"/>
          <w:lang w:val="pl-PL" w:eastAsia="pl-PL" w:bidi="pl-PL"/>
        </w:rPr>
        <w:t>Lista podpisanych elementów (referencji):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E6068"/>
          <w:spacing w:val="0"/>
          <w:w w:val="100"/>
          <w:position w:val="0"/>
          <w:shd w:val="clear" w:color="auto" w:fill="auto"/>
          <w:lang w:val="pl-PL" w:eastAsia="pl-PL" w:bidi="pl-PL"/>
        </w:rPr>
        <w:t>referencja ID-7c1cab3ea08bce77847fbb927e35ed81 :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9E6068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referencja ID-f34d0f86b1 d4b6f14b316ec483c62ee0 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Znak%20sprawy%3A%20WA-0954/131 /2/2023%0A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9E6068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referencja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#xades-id-20495fba5892e979fa7569c256708836</w:t>
      </w:r>
    </w:p>
    <w:sectPr>
      <w:footerReference w:type="default" r:id="rId7"/>
      <w:footnotePr>
        <w:pos w:val="pageBottom"/>
        <w:numFmt w:val="decimal"/>
        <w:numRestart w:val="continuous"/>
      </w:footnotePr>
      <w:pgSz w:w="11900" w:h="16840"/>
      <w:pgMar w:top="262" w:right="161" w:bottom="425" w:left="86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217805</wp:posOffset>
              </wp:positionH>
              <wp:positionV relativeFrom="page">
                <wp:posOffset>10422890</wp:posOffset>
              </wp:positionV>
              <wp:extent cx="7230110" cy="10985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2301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13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1 z 1</w:t>
                            <w:tab/>
                            <w:t>24.04.2023, 08:13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17.150000000000002pt;margin-top:820.70000000000005pt;width:569.30000000000007pt;height:8.6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13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1 z 1</w:t>
                      <w:tab/>
                      <w:t>24.04.2023, 08:13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Podpis obrazu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29AB2"/>
      <w:sz w:val="19"/>
      <w:szCs w:val="19"/>
      <w:u w:val="none"/>
    </w:rPr>
  </w:style>
  <w:style w:type="character" w:customStyle="1" w:styleId="CharStyle5">
    <w:name w:val="Tekst treści (3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Tekst treści (2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10">
    <w:name w:val="Tekst treści (4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color w:val="F3A1B5"/>
      <w:sz w:val="20"/>
      <w:szCs w:val="20"/>
      <w:u w:val="none"/>
    </w:rPr>
  </w:style>
  <w:style w:type="character" w:customStyle="1" w:styleId="CharStyle12">
    <w:name w:val="Nagłówek #1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Tekst treści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Inne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9">
    <w:name w:val="Nagłówek lub stopka (2)_"/>
    <w:basedOn w:val="DefaultParagraphFont"/>
    <w:link w:val="Styl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Podpis obrazu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29AB2"/>
      <w:sz w:val="19"/>
      <w:szCs w:val="19"/>
      <w:u w:val="none"/>
    </w:rPr>
  </w:style>
  <w:style w:type="paragraph" w:customStyle="1" w:styleId="Style4">
    <w:name w:val="Tekst treści (3)"/>
    <w:basedOn w:val="Normal"/>
    <w:link w:val="CharStyle5"/>
    <w:pPr>
      <w:widowControl w:val="0"/>
      <w:shd w:val="clear" w:color="auto" w:fill="auto"/>
      <w:spacing w:after="110" w:line="221" w:lineRule="auto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7">
    <w:name w:val="Tekst treści (2)"/>
    <w:basedOn w:val="Normal"/>
    <w:link w:val="CharStyle8"/>
    <w:pPr>
      <w:widowControl w:val="0"/>
      <w:shd w:val="clear" w:color="auto" w:fill="auto"/>
      <w:spacing w:line="36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9">
    <w:name w:val="Tekst treści (4)"/>
    <w:basedOn w:val="Normal"/>
    <w:link w:val="CharStyle1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3A1B5"/>
      <w:sz w:val="20"/>
      <w:szCs w:val="20"/>
      <w:u w:val="none"/>
    </w:rPr>
  </w:style>
  <w:style w:type="paragraph" w:customStyle="1" w:styleId="Style11">
    <w:name w:val="Nagłówek #1"/>
    <w:basedOn w:val="Normal"/>
    <w:link w:val="CharStyle12"/>
    <w:pPr>
      <w:widowControl w:val="0"/>
      <w:shd w:val="clear" w:color="auto" w:fill="auto"/>
      <w:spacing w:after="3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Tekst treści"/>
    <w:basedOn w:val="Normal"/>
    <w:link w:val="CharStyle17"/>
    <w:pPr>
      <w:widowControl w:val="0"/>
      <w:shd w:val="clear" w:color="auto" w:fill="auto"/>
      <w:spacing w:line="413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Inne"/>
    <w:basedOn w:val="Normal"/>
    <w:link w:val="CharStyle23"/>
    <w:pPr>
      <w:widowControl w:val="0"/>
      <w:shd w:val="clear" w:color="auto" w:fill="auto"/>
      <w:spacing w:line="413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8">
    <w:name w:val="Nagłówek lub stopka (2)"/>
    <w:basedOn w:val="Normal"/>
    <w:link w:val="CharStyle2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SSkan23042411020</dc:title>
  <dc:subject/>
  <dc:creator>Aldona Nyczak</dc:creator>
  <cp:keywords/>
</cp:coreProperties>
</file>