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4 "Plan wydatków związanych z realizacją zadań z zakresu administracji rządowej i innych zadań zleconych gminie</w:t>
        <w:br/>
        <w:t>ustawami na 2022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4 do zarządzenia Nr 173/2022 Burmistrza Gminy Osieczna z dnia 30 grudnia 2022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8 276 933,48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8 277 333,48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1 481,16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339,95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1 821,11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326,53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44,62</w:t>
            </w:r>
          </w:p>
        </w:tc>
      </w:tr>
      <w:tr>
        <w:trPr>
          <w:trHeight w:val="25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10 126 182,45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10 126 582,45</w:t>
            </w:r>
          </w:p>
        </w:tc>
      </w:tr>
    </w:tbl>
    <w:p>
      <w:pPr>
        <w:widowControl w:val="0"/>
        <w:spacing w:after="67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834" w:right="1222" w:bottom="497" w:left="987" w:header="406" w:footer="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6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