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Pruska; RIO</w:t>
        <w:br/>
        <w:t>dnia 13 grudnia 2022 r.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SO-19/0957/214/2022</w:t>
      </w:r>
      <w:bookmarkEnd w:id="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13 grudnia 2022 roku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sprawie: wyrażenia opinii o projekcie wieloletniej prognozy finansowej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lata 2023-2028.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21/2022 Prezesa Regionalnej Izby Obrachunkowej w Poznaniu z dnia 2 listopada 2022 r.</w:t>
        <w:br/>
        <w:t>w osobach:</w:t>
      </w:r>
    </w:p>
    <w:tbl>
      <w:tblPr>
        <w:tblOverlap w:val="never"/>
        <w:jc w:val="center"/>
        <w:tblLayout w:type="fixed"/>
      </w:tblPr>
      <w:tblGrid>
        <w:gridCol w:w="1858"/>
        <w:gridCol w:w="7723"/>
      </w:tblGrid>
      <w:tr>
        <w:trPr>
          <w:trHeight w:val="42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Przewodnicząca: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Aldona Pruska</w:t>
            </w:r>
          </w:p>
        </w:tc>
      </w:tr>
      <w:tr>
        <w:trPr>
          <w:trHeight w:val="71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Członkowie: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Grażyna Wróblewska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Katarzyna Kosmowska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pkt. 12 i art. 19 ust. 2 ustawy z dnia 7 października 1992 r.</w:t>
        <w:br/>
        <w:t>o regionalnych izbach obrachunkowych (Dz. U. z 2022 r., poz. 1668) w związku z art. 230 ust. 3</w:t>
        <w:br/>
        <w:t>ustawy z dnia 27 sierpnia 2009 r. o finansach publicznych (Dz. U. z 2021r. poz. 1634 z późn. zm.),</w:t>
        <w:br/>
        <w:t>wyraża o przedłożonym przez Burmistrza Gminy Osieczna projekcie wieloletniej prognozy</w:t>
        <w:br/>
        <w:t>finansowej na lata 2023-2028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 z uwagą w pkt IV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wieloletniej prognozy finansowej na lata 2023-2028 Gminy</w:t>
        <w:br/>
        <w:t>Osieczna został przedłożony tutejszej Izbie w dniu 15 listopada 2022 roku.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Wydając niniejszą opinię Skład Orzekający zapoznał się m.in. z następującymi dokumentami</w:t>
        <w:br/>
        <w:t>będącymi w posiadaniu Izby: projektem uchwały budżetowej na 2023 r., uchwałą w sprawie</w:t>
        <w:br/>
        <w:t>Wieloletniej Prognozy Finansowej Gminy Osieczna na lata 2022-2028 ze zmianami, uchwałą</w:t>
        <w:br/>
        <w:t>budżetową na 2022 r., uchwałami okołobudżetowymi mogącymi mieć wpływ na zadłużenie jednostki</w:t>
        <w:br/>
        <w:t>oraz sprawozdaniami budżetowymi sporządzonymi wg stanu na dzień 31.12.2021 r. i 30.09.2022 r.</w:t>
      </w:r>
    </w:p>
    <w:p>
      <w:pPr>
        <w:pStyle w:val="Style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zawiera dane wymagane przepisami art. 226 ustawy o finansach</w:t>
        <w:br/>
        <w:t>publicznych.</w:t>
      </w:r>
    </w:p>
    <w:p>
      <w:pPr>
        <w:pStyle w:val="Style6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22" w:val="left"/>
        </w:tabs>
        <w:bidi w:val="0"/>
        <w:spacing w:before="0" w:after="34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212" w:bottom="303" w:left="1102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92" w:val="left"/>
        </w:tabs>
        <w:bidi w:val="0"/>
        <w:spacing w:before="8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projektu wynika, że okres objęty WPF odpowiada okresowi na jaki przyjęto limity wydatków na</w:t>
        <w:br/>
        <w:t>realizację ujętych w prognozie przedsięwzięć, a prognoza kwoty długu sporządzona jest na okres na</w:t>
        <w:br/>
        <w:t>który zaciągnięto oraz planuje się zaciągnąć zobowiązania, co wyczerpuje dyspozycje art. 227 ustawy</w:t>
        <w:br/>
        <w:t>o finansach publicznych.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2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 kwoty długu wykazuje, że w 2023 roku oraz w pozostałych latach, czyli do końca okresu</w:t>
        <w:br/>
        <w:t>objętego prognozą, zostanie zachowana relacja, o której mowa w art. 243 ustawy o finansach</w:t>
        <w:br/>
        <w:t>publicznych.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Zakres przewidzianych dla organu wykonawczego upoważnień nie wykracza poza dyspozycję</w:t>
        <w:br/>
        <w:t>wynikającą z art. 228 ustawy o finansach publicznych.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19" w:val="left"/>
        </w:tabs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wykazuje zgodność z projektem uchwały budżetowej w zakresie</w:t>
        <w:br/>
        <w:t>wymaganym art. 229 ustawy o finansach publicznych.</w:t>
      </w:r>
    </w:p>
    <w:p>
      <w:pPr>
        <w:pStyle w:val="Style4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Analiza projektu uchwały w sprawie Wieloletniej Prognozy Finansowej Gminy na lata 2023</w:t>
        <w:t>-</w:t>
        <w:br/>
        <w:t>2028 w porównaniu z uchwałą w sprawie Wieloletniej Prognozy Finansowej Gminy na lata 2022-2028</w:t>
        <w:br/>
        <w:t>w zakresie załącznika Nr 2 „Wykaz przedsięwzięć” (uchwała Nr XLVI.325.2022 z dnia 20</w:t>
        <w:br/>
        <w:t>października 2022 r. - ostatnia zmiana przed podjęciem projektu uchwały) wykazała rozbieżności w</w:t>
        <w:br/>
        <w:t>odniesieniu do niektórych przedsięwzięć (poz. 1.3.1.2; 1.3.2.1; 1.3.2.3; 1.3.2.4; 1.3.2.6) w zakresie</w:t>
        <w:br/>
        <w:t>łącznych nakładów finansowych, okresu realizacji czy limitu wydatków w poszczególnych latach</w:t>
        <w:br/>
        <w:t>realizacji przedsięwzięć.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Ponadto wprowadzono nowe zadania pn.: „Budowa chodnika w Osiecznej wraz z towarzyszącą</w:t>
        <w:br/>
        <w:t>infrastrukturą” poz. 1.3.2.15, „Budowa boiska sportowego za świetlicą wiejską” poz. 1.3.2.16,</w:t>
        <w:br/>
        <w:t>„Zagospodarowanie terenu przy świetlicy” poz.1.3.2.17, oraz „Modernizacja terenu za świetlicą” poz.</w:t>
        <w:br/>
        <w:t>1.3.2.18.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w objaśnieniach do Wieloletniej Prognozy Finansowej w pkt 2 „Załącznik nr 2 - Wykaz</w:t>
        <w:br/>
        <w:t>przedsięwzięć” wykazał ww. rozbieżności i zawarł informację, iż zostaną one uaktualnione na</w:t>
        <w:br/>
        <w:t>najbliższej sesji.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Uchwałą Nr XLVII.332.2022 z dnia 29 listopada 2022 roku w sprawie zmiany Wieloletniej Prognozy</w:t>
        <w:br/>
        <w:t>Finansowej Gminy Osieczna na lata 2022-2028 Rada Miejska Gminy Osieczna doprowadziła ww.</w:t>
        <w:br/>
        <w:t>zakresie do zgodności.</w:t>
      </w:r>
    </w:p>
    <w:p>
      <w:pPr>
        <w:pStyle w:val="Style4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zwraca uwagę, że w załączniku Nr 2 pn. „Wykaz przedsięwzięć do WPF”</w:t>
        <w:br/>
        <w:t>limity zobowiązań przewyższają sumy limitów wydatków dla następujących przedsięwzięć:</w:t>
      </w:r>
    </w:p>
    <w:tbl>
      <w:tblPr>
        <w:tblOverlap w:val="never"/>
        <w:jc w:val="center"/>
        <w:tblLayout w:type="fixed"/>
      </w:tblPr>
      <w:tblGrid>
        <w:gridCol w:w="3571"/>
        <w:gridCol w:w="638"/>
        <w:gridCol w:w="634"/>
        <w:gridCol w:w="1099"/>
        <w:gridCol w:w="1099"/>
        <w:gridCol w:w="1224"/>
        <w:gridCol w:w="1166"/>
      </w:tblGrid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zadania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 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 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Suma</w:t>
              <w:br/>
              <w:t>limitów</w:t>
              <w:br/>
              <w:t>wydatków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Przekroczenie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Dzierżawa gruntów od Nadleśnictwa -</w:t>
              <w:br/>
              <w:t>Zawarcie umowy dzierżawy gruntów w celu</w:t>
              <w:br/>
              <w:t>zapewnienia ciągłości działania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28 942,91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24 700,00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25 046,88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346,88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571"/>
        <w:gridCol w:w="638"/>
        <w:gridCol w:w="634"/>
        <w:gridCol w:w="1099"/>
        <w:gridCol w:w="1099"/>
        <w:gridCol w:w="1224"/>
        <w:gridCol w:w="1166"/>
      </w:tblGrid>
      <w:tr>
        <w:trPr>
          <w:trHeight w:val="45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boiska sportowego za świetlicą</w:t>
              <w:br/>
              <w:t>wiejską - Poprawa jakości życia mieszkańców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79 300,00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37 002,76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2,76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chodnika w Osiecznej wraz z</w:t>
              <w:br/>
              <w:t>towarzyszącą infrastrukturą - Poprawa</w:t>
              <w:br/>
              <w:t>infrastruktury drogowej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496 100,00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246 100,00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instalacji fotowoltaicznych na terenie</w:t>
              <w:br/>
              <w:t>Gminy Osieczna - Wykorzystanie</w:t>
              <w:br/>
              <w:t>odnawialnych źródeł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1.200.000,00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1.000.000,00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1.086.840,00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86.840,00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oraz modernizacja oświetlenia</w:t>
              <w:br/>
              <w:t>ulicznego na terenie Gminy - Obniżenie</w:t>
              <w:br/>
              <w:t>kosztów zużycia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2 075 426,36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215 470,06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115 470,06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pumptracka w Kąkolewie - Poprawa</w:t>
              <w:br/>
              <w:t>jakości życia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346 000,00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346 593,65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593,65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pumptracka w Osiecznej - Poprawa</w:t>
              <w:br/>
              <w:t>jakości życia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345 717,50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345 763,85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46,35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Budowa ujęcia wody na terenie Gminy</w:t>
              <w:br/>
              <w:t>Osieczna - Uporządkowanie gospodarki</w:t>
              <w:br/>
              <w:t>wodociągowej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2 801 784,60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2 315 518,85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315 518,85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Modernizacja terenu za świetlicą -</w:t>
              <w:br/>
              <w:t>Zaspokojenie potrzeb społecznych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36 820,00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21 674,00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1 674,00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Poprawa bezpieczeństwa ruchu pieszych w</w:t>
              <w:br/>
              <w:t>obszarze oddziaływania przejść dla pieszych</w:t>
              <w:br/>
              <w:t>na terenie Gminy Osieczna - Poprawa</w:t>
              <w:br/>
              <w:t>bezpieczeństwa ruchu pieszych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169 300,00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145 000,00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95 000,00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Przebudowa ciągów komunikacyjnych na</w:t>
              <w:br/>
              <w:t>terenie Letniska w Osiecznej - Poprawa</w:t>
              <w:br/>
              <w:t>infrastruktury turystycznej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Rewitalizacja centrum Osiecznej - Ożywienie</w:t>
              <w:br/>
              <w:t>przestrzenne oraz społeczno-gospodarcze</w:t>
              <w:br/>
              <w:t>centrum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4 873 077,93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544 422,51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244 422,51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Rozbudowa sieci wodno-kanalizacyjnej na</w:t>
              <w:br/>
              <w:t>terenie Gminy - 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7 304 235,50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7 099 954,55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99 954,55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Zagospodarowanie terenu przy świetlicy -</w:t>
              <w:br/>
              <w:t>budowa zadaszenia za świetlicą - Zaspokojenie</w:t>
              <w:br/>
              <w:t>potrzeb społecznych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9 000,00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że limit zobowiązań określa kwotę stanowiącą równowartość</w:t>
        <w:br/>
        <w:t>planowanych do zawarcia umów, których wykonanie spowoduje konieczność dokonania wydatków</w:t>
        <w:br/>
        <w:t>budżetowych. Powinien być on rozumiany jako granica, do której organ wykonawczy (lub kierownik</w:t>
        <w:br/>
        <w:t>jednostki organizacyjnej posiadający stosowne upoważnienie do działania) może zaciągnąć</w:t>
        <w:br/>
        <w:t>zobowiązanie w celu realizacji danego przedsięwzięcia (zawrzeć umowę). Zatem w przypadku, gdy</w:t>
        <w:br/>
        <w:t>umowy nie zostały jeszcze zawarte, limity zobowiązań winny być równe łącznym nakładom. W trakcie</w:t>
        <w:br/>
        <w:t>realizacji przedsięwzięć wielkość tych limitów będzie ulegała zmniejszeniu na skutek zawieranych</w:t>
        <w:br/>
        <w:t>umów na realizację danego przedsięwzięcia, o wartości wynikające z tych umów. W przypadku</w:t>
        <w:br/>
        <w:t>zawarcia umowy na całość realizacji przedsięwzięcia, wielkość limitu zobowiązań stanowi wartość</w:t>
        <w:br/>
        <w:t>zerową. Limit zobowiązań nie może zatem przewyższać sumy limitów wydatków pozostałych do</w:t>
        <w:br/>
        <w:t>poniesienia.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31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Wynikający z art. 226 ust. 3 pkt 3 i 5 ustawy o finansach publicznych wymóg określenia dla</w:t>
        <w:br/>
        <w:t>każdego przedsięwzięcia łącznych nakładów finansowych oraz limitu zobowiązań jest spełniony</w:t>
        <w:br/>
        <w:t>w sytuacji, gdy wartości te zostaną ustalone we właściwej wysokości.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Skład Orzekający postanowił jak w sentencji.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14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140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/>
        <w:ind w:left="0" w:right="17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Aldona Pruska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: Od opinii zawartej w niniejszej uchwale służy odwołanie do składu Kolegium Regionalnej</w:t>
        <w:br/>
        <w:t>Izby 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05" w:right="1203" w:bottom="985" w:left="1088" w:header="0" w:footer="55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491490</wp:posOffset>
              </wp:positionV>
              <wp:extent cx="673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75pt;margin-top:38.700000000000003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Nagłówek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Tekst treści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Podpis tabel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Nagłówek lub stopka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80" w:line="343" w:lineRule="auto"/>
      <w:ind w:left="77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Nagłówek #1"/>
    <w:basedOn w:val="Normal"/>
    <w:link w:val="CharStyle5"/>
    <w:pPr>
      <w:widowControl w:val="0"/>
      <w:shd w:val="clear" w:color="auto" w:fill="auto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  <w:spacing w:line="360" w:lineRule="auto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Nagłówek lub stopka (2)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…………</dc:title>
  <dc:subject/>
  <dc:creator/>
  <cp:keywords/>
</cp:coreProperties>
</file>