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XVLI.320.2022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stawek podatku od nieruchomości na 2023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 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1452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wysokość stawek podatku od nieruchomości jak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załączniku nr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Zarządza się pobór podatku od nieruchomości od osób fizycznych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drodze inkasa.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Podatek od nieruchomości płatny jest na indywidualne konto bankowe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Banku Spółdzielczym Poniec Oddział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Osiecznej.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stycznia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7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uchwały Nr XVLI.320.2022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Miejskiej Gminy Osieczna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STAWKI PODATKOWE OD NIERUCHOMOŚCI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gruntów: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prowadzeniem działalności gospodarczej, bez względu na sposób zakwalifikowania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ewidencji gruntów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budynków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1,00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 wodami powierzchniowymi stojącymi lub wodami powierzchniowymi płynącymi jezior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zbiorników sztucznych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5,79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 powierzchni,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tym zajętych na prowadzenie odpłatnej statutowej działalności pożytku publicznego przez organizacje pożytku publicznego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0,40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niezabudowanych objętych obszarem rewitalizacji,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października 2015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rewitalizacji (Dz.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1398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730),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położonych na terenach, dla których miejscowy plan zagospodarowania przestrzennego przewiduje przeznaczenie pod zabudowę mieszkaniową, usługową albo zabudowę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przeznaczeniu mieszanym obejmującym wyłącznie te rodzaje zabudowy, jeżeli od dnia wejścia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życie tego planu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odniesieniu do tych gruntów upłynął okres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lat,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tym czasie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zakończono budowy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przepisami prawa budowlanego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3,81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powierzchni.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budynków lub ich części: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a)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mieszkalnych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0,98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b)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prowadzeniem działalności gospodarczej oraz od budynków mieszkalnych lub ich części zajętych na prowadzenie działalności gospodarczej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23,90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c)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zajętych na prowadzenie działalności gospodarczej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zakresie obrotu kwalifikowanym materiałem siewnym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13,47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d)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związanych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udzielaniem świadczeń zdrowotnych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rozumieniu przepisów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działalności leczniczej, zajętych przez podmioty udzielające tych świadczeń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5,87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227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e)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tym: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zajętych na prowadzenie odpłatnej statutowej działalności pożytku publicznego przez organizacje pożytku publicznego 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6,90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zł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wykorzystywanych pod rekreację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wypoczynek –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9,71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użytkowej,</w:t>
      </w:r>
    </w:p>
    <w:p w:rsidR="00A77B3E">
      <w:pPr>
        <w:keepNext w:val="0"/>
        <w:keepLines/>
        <w:spacing w:before="120" w:after="120" w:line="240" w:lineRule="auto"/>
        <w:ind w:left="454" w:right="0" w:hanging="113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-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pozostałych,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wymienionych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tirecie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tirecie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- 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6,90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zł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od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superscript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powierzchni użytkowej.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Od budowli -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2%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ich wartości określonej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- 7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podatkach 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opłatach lokalnych.</w:t>
      </w:r>
    </w:p>
    <w:p w:rsidR="00A77B3E">
      <w:pPr>
        <w:keepNext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XLVI.</w:t>
      </w:r>
      <w:r>
        <w:rPr>
          <w:b/>
          <w:szCs w:val="20"/>
        </w:rPr>
        <w:t>320</w:t>
      </w:r>
      <w:r>
        <w:rPr>
          <w:b/>
          <w:szCs w:val="20"/>
        </w:rPr>
        <w:t>.2022 Rady Miejskiej Gminy Osieczna z dnia 20 października 2022 r. w sprawie podatku od nieruchomości na 2023 rok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Stosownie do zapisów art. 18 ust. 2 pkt 8 ustawy z dnia 8 marca 1990 r. o samorządzie gminnym (t.j. Dz. U. z 2022 r., poz. 559 ze zm.) do wyłącznej właściwości rady gminy należy podejmowanie uchwał w sprawie podatków i opłat lokalnych określonych w odrębnych ustawach.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Zgodnie z zapisem art. 5 ust. 1 ustawy z dnia 12 stycznia 1991 r. o podatkach i opłatach lokalnych (t.j. Dz. U. z 2022 r., poz.1452 ze zm.) rada gminy określa w drodze uchwały wysokość stawek podatku od nieruchomości. Stawki podatku od nieruchomości nie mogą jednak przekroczyć maksymalnych stawek ustalonych dla poszczególnych przedmiotów opodatkowania. Na podstawie art. 20 ust. 2 ww. ustawy górne granice stawek kwotowych określa Minister Finansów w drodze obwieszczenia.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Wysokość maksymalnych stawek podatkowych w podatku od nieruchomości wzrosła względem roku ubiegłego o 11,80%.</w:t>
      </w:r>
    </w:p>
    <w:p>
      <w:pPr>
        <w:keepNext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związku z powyższym zasadne jest podjęcie przez Radę Miejską Gminy Osieczna przedmiotowej uchwały.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CD66992A-3590-4F2A-977F-F0E24649C72F.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CD66992A-3590-4F2A-977F-F0E24649C72F.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CD66992A-3590-4F2A-977F-F0E24649C72F.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XVLI.320.2022 z dnia 20 października 2022 r.</dc:title>
  <dc:subject>w sprawie stawek podatku od nieruchomości na 2023^rok</dc:subject>
  <dc:creator>m.skorupka</dc:creator>
  <cp:lastModifiedBy>m.skorupka</cp:lastModifiedBy>
  <cp:revision>1</cp:revision>
  <dcterms:created xsi:type="dcterms:W3CDTF">2022-10-21T13:17:41Z</dcterms:created>
  <dcterms:modified xsi:type="dcterms:W3CDTF">2022-10-21T13:17:41Z</dcterms:modified>
  <cp:category>Akt prawny</cp:category>
</cp:coreProperties>
</file>