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Poznań, dnia 25 kwietnia 2022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WA-0954/131/2/2022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60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0" w:line="240" w:lineRule="auto"/>
        <w:ind w:left="604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Miasta i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60" w:line="394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załączeniu przesyłam uchwałę Składu Orzekającego Regionalnej Izby Obrachunkowej w</w:t>
        <w:br/>
        <w:t>Poznaniu w sprawie wyrażenia opinii o sprawozdaniu z wykonania budżetu Gminy Osieczna za rok</w:t>
        <w:br/>
        <w:t>2021 wraz z informacją o stanie mienia jednostki samorządu terytorialnego i objaśnieniami.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 wiadomości: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3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Rady Miejskiej Gminy Osieczna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Id: F44F5D4A-DA53-4818-B4DF-B43FE0D83E11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Uchwała Nr SO-12/0954/133/2022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 Regionalnej Izby Obrachunkowej w Poznaniu</w:t>
        <w:br/>
        <w:t>z dnia 22 kwietnia 2022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/>
        <w:ind w:left="1100" w:right="0" w:hanging="11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sprawie: wyrażenia opinii o sprawozdaniu z wykonania budżetu Gminy Osieczna za rok 2021</w:t>
        <w:br/>
        <w:t>wraz z informacją o stanie mienia jednostki samorządu terytorialnego i objaśnieniami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Regionalnej Izby Obrachunkowej w Poznaniu wyznaczony Zarządzeniem</w:t>
        <w:br/>
        <w:t>Nr 8/2022 Prezesa Regionalnej Izby Obrachunkowej w Poznaniu z dnia 01 kwietnia 2022 r. w osobach: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99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Przewodnicząca:</w:t>
        <w:tab/>
        <w:t>Danuta Szczepańska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999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Członkowie:</w:t>
        <w:tab/>
        <w:t>Zdzisław Drost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/>
        <w:ind w:left="2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Beata Rodewald-Łaszkowska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działając na podstawie art. 13 pkt 5 i art. 19 ust. 2 ustawy z dnia 7 października 1992 r. o regionalnych</w:t>
        <w:br/>
        <w:t>izbach obrachunkowych (Dz. U. z 2019 r., poz. 2137 ze zmianami) w związku z art. 267 ustawy z dnia</w:t>
        <w:br/>
        <w:t>27 sierpnia 2009 r. o finansach publicznych (Dz. U. 2021 poz. 305 ze zmianami) wyraża o</w:t>
        <w:br/>
        <w:t>przedłożonym przez Burmistrza Gminy Osieczna sprawozdaniu z wykonania budżetu za 2021 rok oraz</w:t>
        <w:br/>
        <w:t>informacji o stanie mienia jednostki samorządu terytorialnego i objaśnieniami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opinię pozytywną.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Uzasadnienie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Przedmiotem badania stanowiącym podstawę do wydania niniejszej opinii było sprawozdanie</w:t>
        <w:br/>
        <w:t>z wykonania budżetu Gminy Osieczna za 2021 rok wraz z informacją o stanie mienia jednostki</w:t>
        <w:br/>
        <w:t>samorządu terytorialnego i objaśnieniami przedłożone tut. Izbie w systemie e-Nadzór w dniu 31 marca</w:t>
        <w:br/>
        <w:t>2022 roku.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przed wydaniem opinii zapoznał się także z uchwałą budżetową wg stanu na</w:t>
        <w:br/>
        <w:t>dzień 31 grudnia 2021 r. (po zm.), uchwałą w sprawie Wieloletniej Prognozy Finansowej (po zm.) na</w:t>
        <w:br/>
        <w:t>lata 2021-2028 oraz ze sprawozdaniami budżetowymi Jednostki za 2021 rok.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15" w:val="left"/>
        </w:tabs>
        <w:bidi w:val="0"/>
        <w:spacing w:before="0" w:after="0"/>
        <w:ind w:left="2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Przedłożone sprawozdanie zawiera część opisową, stanowiącą objaśnienia do sprawozdania</w:t>
        <w:br/>
        <w:t>z wykonania budżetu oraz część tabelaryczną.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85" w:val="left"/>
        </w:tabs>
        <w:bidi w:val="0"/>
        <w:spacing w:before="0" w:after="0"/>
        <w:ind w:left="520" w:right="0" w:hanging="260"/>
        <w:jc w:val="both"/>
        <w:sectPr>
          <w:headerReference w:type="default" r:id="rId5"/>
          <w:head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1380" w:right="1207" w:bottom="825" w:left="1256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 W części opisowej sprawozdania zawarto informację o planowanych i wykonanych dochodach,</w:t>
        <w:br/>
        <w:t>wydatkach, przychodach, rozchodach i wyniku budżetu oraz zobowiązaniach. Omówiono</w:t>
        <w:br/>
        <w:t>wykonanie dochodów prezentując ich wykonanie z poszczególnych źródeł z podziałem na</w:t>
        <w:br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85" w:val="left"/>
        </w:tabs>
        <w:bidi w:val="0"/>
        <w:spacing w:before="0" w:after="0"/>
        <w:ind w:left="5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dochody bieżące i majątkowe z omówieniem dochodów własnych, subwencji, środków</w:t>
        <w:br/>
        <w:t>pochodzących ze źródeł zagranicznych oraz dotacji z budżetu państwa.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50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Omówiono realizację wydatków w poszczególnych działach i rozdziałach klasyfikacji</w:t>
        <w:br/>
        <w:t>budżetowej, z uwzględnieniem wydatków bieżących i majątkowych. Omówiono także</w:t>
        <w:br/>
        <w:t>poszczególne załączniki do uchwały budżetowej.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16" w:val="left"/>
        </w:tabs>
        <w:bidi w:val="0"/>
        <w:spacing w:before="0" w:after="0"/>
        <w:ind w:left="50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 W części tabelarycznej przedstawiono plan i wykonanie dochodów i wydatków w pełnej</w:t>
        <w:br/>
        <w:t>szczegółowości klasyfikacji budżetowej.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50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odrębnych załącznikach zaprezentowano także m.in. wykonanie przychodów i rozchodów</w:t>
        <w:br/>
        <w:t>budżetu, wydatki majątkowe zaplanowane do realizacji i wykonane w roku 2021, zestawienie</w:t>
        <w:br/>
        <w:t>dotacji udzielonych z budżetu Gminy oraz wydatków realizowanych w ramach funduszu</w:t>
        <w:br/>
        <w:t>sołeckiego, dochody z tytułu opłat za wydawanie zezwoleń na sprzedaż napojów alkoholowych</w:t>
        <w:br/>
        <w:t>oraz wydatki związane z realizacją gminnego programu profilaktyki i rozwiązywania problemów</w:t>
        <w:br/>
        <w:t>alkoholowych oraz gminnego programu przeciwdziałania narkomanii, dochody z tytułu opłat i kar</w:t>
        <w:br/>
        <w:t>za korzystanie ze środowiska oraz wydatki nimi sfinansowane, wykonanie przychodów i kosztów</w:t>
        <w:br/>
        <w:t>samorządowych zakładów budżetowych.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06" w:val="left"/>
        </w:tabs>
        <w:bidi w:val="0"/>
        <w:spacing w:before="0" w:after="0"/>
        <w:ind w:left="50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.W sprawozdaniu (w części tabelarycznej i opisowej) przedstawiono zmiany w planie wydatków na</w:t>
        <w:br/>
        <w:t>realizację programów finansowanych z udziałem środków, o których mowa w art. 5 ust. 1 pkt 2 i</w:t>
        <w:br/>
        <w:t>3 uofp, dokonane w trakcie roku budżetowego oraz przedstawiono stopień zaawansowania</w:t>
        <w:br/>
        <w:t>realizacji programów wieloletnich zapisanych w Wieloletniej Prognozie Finansowej.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26" w:val="left"/>
        </w:tabs>
        <w:bidi w:val="0"/>
        <w:spacing w:before="0" w:after="360"/>
        <w:ind w:left="500" w:right="0" w:hanging="2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.W ocenie Składu Orzekającego przedłożone sprawozdanie z wykonania budżetu za 2021 rok</w:t>
        <w:br/>
        <w:t>spełnia wymogi określone w art. 267 ust. 1 pkt 1 oraz art. 269 ustawy o finansach publicznych.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50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ILI. Analiza porównawcza prezentowanych danych w sprawozdaniu z wykonania budżetu z kwotami</w:t>
        <w:br/>
        <w:t>planowanymi w budżecie na 2021 rok oraz danymi zawartymi w przedłożonych sprawozdaniach</w:t>
        <w:br/>
        <w:t>budżetowych wykazała zgodność kwot planowanych i wykonanych w dokumentach</w:t>
        <w:br/>
        <w:t>przedłożonych tut. Izbie, za wyjątkiem uchybień wskazanych w punkcie VI.</w:t>
      </w:r>
    </w:p>
    <w:p>
      <w:pPr>
        <w:pStyle w:val="Style2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490" w:val="left"/>
        </w:tabs>
        <w:bidi w:val="0"/>
        <w:spacing w:before="0" w:after="0"/>
        <w:ind w:left="500" w:right="0" w:hanging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przeprowadzonego badania Skład Orzekający ustalił, że budżet za rok 2021 został</w:t>
        <w:br/>
        <w:t>wykonany z nadwyżką budżetową w kwocie 3.911.705,33 zł, bowiem: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46" w:val="left"/>
        </w:tabs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dochody wykonano w wysokości 55.658.298,06 zł, tj. 102,39 %,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46" w:val="left"/>
        </w:tabs>
        <w:bidi w:val="0"/>
        <w:spacing w:before="0" w:after="0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wydatki wykonano w wysokości 51.746.592,73 zł, tj. 88,88 %.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50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Dochody bieżące wykonano w kwocie 53.487.015,50 zł i wydatki bieżące w kwocie</w:t>
        <w:br/>
        <w:t>40.075.900,75 zł, co spełnia wymóg z art. 242 ust. 2 ustawy o finansach publicznych.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50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Przychody zrealizowano w kwocie 15.367.171,14 zł, w tym z tytułu wolnych środków, o których</w:t>
        <w:br/>
        <w:t>mowa w art. 217 ust. 2 pkt. 6 ustawy o finansach publicznych w kwocie 7.549.206,29 zł,</w:t>
        <w:br/>
        <w:t>nadwyżki z lat ubiegłych w kwocie 5.879.489,62 zł, niewykorzystanych środków pieniężnych na</w:t>
        <w:br/>
        <w:t>rachunku bieżącym budżetu, wynikających z rozliczenia dochodów i wydatków nimi</w:t>
        <w:br/>
        <w:t>finansowanych związanych ze szczególnymi zasadami wykonywania budżetu określonymi w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odrębnych ustawach w kwocie 1.851.614,67 zł oraz przychodów wynikających z rozliczenia</w:t>
        <w:br/>
        <w:t>środków określonych w art. 5 ust. 1 pkt 2 ustawy i dotacji na realizację programu, projektu lub</w:t>
        <w:br/>
        <w:t>zadania finansowanego z udziałem tych środków w kwocie 86.860,56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4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okresie sprawozdawczym spłacono raty z zaciągniętych pożyczek i kredytów w wysokości</w:t>
        <w:br/>
        <w:t>4.749.206,29 zł, co stanowi 100,00 % planowanych rozchodów z tego tytułu. Zaplanowano</w:t>
        <w:br/>
        <w:t>również rozchody z tytułu przelewów na rachunki lokat w kwocie 45.270,00 zł (wykonanie</w:t>
        <w:br/>
        <w:t>0,00zł)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4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Dane te potwierdza sprawozdanie Rb-NDS o nadwyżce/deficycie za okres od początku roku do</w:t>
        <w:br/>
        <w:t>dnia 31 grudnia roku 2021 oraz informacje zawarte w sprawozdaniu (str. 56).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4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koniec 2021 roku Jednostka posiadała zobowiązania w kwocie 2.800.000,00 zł (z tytułu</w:t>
        <w:br/>
        <w:t>pożyczek i kredytów). Kwota ta stanowi 5,03 % wykonanych dochodów.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/>
        <w:ind w:left="4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Dane te potwierdza sprawozdanie Rb-Z o stanie zobowiązań według tytułów dłużnych oraz</w:t>
        <w:br/>
        <w:t>poręczeń i gwarancji wg stanu na koniec IV kwartału 2021 roku.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/>
        <w:ind w:left="30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 III. Wykonanie dochodów z tytułu opłat za wydawanie zezwoleń na sprzedaż napojów</w:t>
        <w:br/>
        <w:t>alkoholowych i wpływów z części opłaty za zezwolenie na sprzedaż napojów alkoholowych w</w:t>
        <w:br/>
        <w:t>obrocie hurtowym oraz wydatków związanych z realizacją gminnego programu profilaktyki i</w:t>
        <w:br/>
        <w:t>rozwiązywania problemów alkoholowych oraz gminnego programu przeciwdziałania narkomanii</w:t>
        <w:br/>
        <w:t>obrazuje prezentuje poniższa tabela.</w:t>
      </w:r>
    </w:p>
    <w:tbl>
      <w:tblPr>
        <w:tblOverlap w:val="never"/>
        <w:jc w:val="center"/>
        <w:tblLayout w:type="fixed"/>
      </w:tblPr>
      <w:tblGrid>
        <w:gridCol w:w="1248"/>
        <w:gridCol w:w="1493"/>
        <w:gridCol w:w="1618"/>
        <w:gridCol w:w="1099"/>
        <w:gridCol w:w="1757"/>
        <w:gridCol w:w="1786"/>
      </w:tblGrid>
      <w:tr>
        <w:trPr>
          <w:trHeight w:val="509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Dochody w zł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 w zł</w:t>
            </w:r>
          </w:p>
        </w:tc>
      </w:tr>
      <w:tr>
        <w:trPr>
          <w:trHeight w:val="4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Wykonanie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75618 §0480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195.000,00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193.787,61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85153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75619 § 0270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19.525,28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19.525,28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85154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316.515,28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220.008,18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214.525,28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213.312,89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317.515,28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220.008,18</w:t>
            </w:r>
          </w:p>
        </w:tc>
      </w:tr>
    </w:tbl>
    <w:p>
      <w:pPr>
        <w:widowControl w:val="0"/>
        <w:spacing w:after="3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30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Zgodnie z art. 18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ustawy z dnia 26 października 1982 r. o wychowaniu w trzeźwości i</w:t>
        <w:br/>
        <w:t xml:space="preserve">przeciwdziałaniu alkoholizmowi (Dz. U. z 2021 r. poz. 1119, z późn. zm.)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.JJochody z opłat za</w:t>
        <w:br/>
        <w:t>zezwolenia wydane na podstawie art. 18 lub art. 18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1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oraz dochody z opłat określonych w art. II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1</w:t>
        <w:br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wykorzystywane będą na realizację: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98" w:val="left"/>
        </w:tabs>
        <w:bidi w:val="0"/>
        <w:spacing w:before="0" w:after="0"/>
        <w:ind w:left="760" w:right="0" w:hanging="26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gminnych programów profilaktyki i rozwiązywania problemów alkoholowych oraz Gminnych</w:t>
        <w:br/>
        <w:t>Programów, o których mowa w art. 10 ust. 2 ustawy z dnia 29 lipca 2005 r. o przeciwdziałaniu</w:t>
        <w:br/>
        <w:t>narkomanii,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813" w:val="left"/>
        </w:tabs>
        <w:bidi w:val="0"/>
        <w:spacing w:before="0" w:after="0"/>
        <w:ind w:left="760" w:right="0" w:hanging="260"/>
        <w:jc w:val="both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zadań realizowanych przez placówkę wsparcia dziennego, o której mowa w przepisach o</w:t>
        <w:br/>
        <w:t>wspieraniu rodziny i systemie pieczy zastępczej, w ramach gminnego programu profilaktyki i</w:t>
        <w:br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rozwiązywania problemów alkoholowych oraz Gminnych Programów, o których mowa w art.</w:t>
        <w:br/>
        <w:t>10 ust. 2 ustawy z dnia 29 lipca 2005 r. o przeciwdziałaniu narkomanii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700"/>
        <w:jc w:val="both"/>
      </w:pPr>
      <w:r>
        <w:rPr>
          <w:i/>
          <w:iCs/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- i nie mogą bvć przeznaczane na inne cele”.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IV. W wyniku analizy sprawozdania z wykonania planu wydatków budżetowych Rb-28S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47" w:val="left"/>
        </w:tabs>
        <w:bidi w:val="0"/>
        <w:spacing w:before="0" w:after="0"/>
        <w:ind w:left="0" w:right="0" w:firstLine="5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 stwierdzono przypadków przekroczenia planowanych wydatków budżetowych,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68" w:val="left"/>
        </w:tabs>
        <w:bidi w:val="0"/>
        <w:spacing w:before="0" w:after="600"/>
        <w:ind w:left="84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stwierdzono, że suma wykonania wydatków i zobowiązań ogółem przekracza plan w budżecie</w:t>
        <w:br/>
        <w:t>(z pominięciem paragrafów wynagrodzeń i pochodnych od wynagrodzeń), i tak:</w:t>
      </w:r>
    </w:p>
    <w:tbl>
      <w:tblPr>
        <w:tblOverlap w:val="never"/>
        <w:jc w:val="center"/>
        <w:tblLayout w:type="fixed"/>
      </w:tblPr>
      <w:tblGrid>
        <w:gridCol w:w="1118"/>
        <w:gridCol w:w="1109"/>
        <w:gridCol w:w="1114"/>
        <w:gridCol w:w="1104"/>
        <w:gridCol w:w="1114"/>
        <w:gridCol w:w="1219"/>
        <w:gridCol w:w="1186"/>
        <w:gridCol w:w="1214"/>
      </w:tblGrid>
      <w:tr>
        <w:trPr>
          <w:trHeight w:val="100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Wykonanie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wykonanie</w:t>
              <w:br/>
              <w:t>+</w:t>
              <w:br/>
              <w:t>zobowiązania</w:t>
              <w:br/>
              <w:t>(5+6)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przekroczenie</w:t>
              <w:br/>
              <w:t>(7-4)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93.875,00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93.806,20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151,80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93.958,00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83,00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350.677,00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350.549,55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33.875,08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384.424,63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33.747,63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39.139,00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39.137,71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39.737,71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598,71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19.002,00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18.954,85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295,20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19.250,05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248,05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90.634,00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89.519,29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17.210,89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106.730,18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16.096,18</w:t>
            </w:r>
          </w:p>
        </w:tc>
      </w:tr>
      <w:tr>
        <w:trPr>
          <w:trHeight w:val="274" w:hRule="exact"/>
        </w:trPr>
        <w:tc>
          <w:tcPr>
            <w:gridSpan w:val="7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50.773,57</w:t>
            </w:r>
          </w:p>
        </w:tc>
      </w:tr>
    </w:tbl>
    <w:p>
      <w:pPr>
        <w:widowControl w:val="0"/>
        <w:spacing w:after="3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uchwale Nr XXIV. 174.2020 Rada Miejska Gminy Osieczna z dnia 30 grudnia 2020 roku w sprawie</w:t>
        <w:br/>
        <w:t>uchwały budżetowej Gminy Osieczna na 2021 rok (ze zmianami):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49" w:val="left"/>
        </w:tabs>
        <w:bidi w:val="0"/>
        <w:spacing w:before="0" w:after="0" w:line="396" w:lineRule="auto"/>
        <w:ind w:left="52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określiła kwotę 1.000.000,00 zł, do której Burmistrz może samodzielnie zaciągać zobowiązania</w:t>
        <w:br/>
        <w:t>(§ 12),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49" w:val="left"/>
        </w:tabs>
        <w:bidi w:val="0"/>
        <w:spacing w:before="0" w:after="280"/>
        <w:ind w:left="520" w:right="0" w:hanging="2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upoważniła Burmistrza do przekazania uprawnień kierownikom jednostek organizacyjnych do</w:t>
        <w:br/>
        <w:t>zaciągania zobowiązań z tytułu umów, których realizacja w roku budżetowym i latach następnych</w:t>
        <w:br/>
        <w:t>jest niezbędna do zapewnienia ciągłości działania jednostki i z których wynikające płatności</w:t>
        <w:br/>
        <w:t>wykraczają poza rok budżetowy (§ 1 lpkt 4).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sprawozdaniu z wykonania budżetu za 2021 rok Burmistrz nie informuje o przyczynach</w:t>
        <w:br/>
        <w:t>przekroczenia planu wydatków budżetowych w dz. 801 rozdz. 80101 § 4270.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 Orzekający wskazuje, iż stosownie do przepisu art. 18 ust. 2 pkt. 9 lit. e) ustawy z dnia 8 marca</w:t>
        <w:br/>
        <w:t>1990 r. o samorządzie gminnym (Dz.U. z 2021 r. poz.1372 ze zm.) do wyłącznej właściwości rady</w:t>
        <w:br/>
        <w:t>gminy należy: podejmowanie uchwał w sprawach majątkowych gminy, przekraczających zakres</w:t>
        <w:br/>
        <w:t>zwykłego zarządu, dotyczących zobowiązań w zakresie podejmowania inwestycji i remontów o</w:t>
        <w:br/>
        <w:t>wartości przekraczającej granicę ustalaną corocznie przez radę gminy.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83" w:lineRule="auto"/>
        <w:ind w:left="36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V, Skład Orzekający stwierdza, że w niżej wymienionych podziałkach klasyfikacji budżetowej</w:t>
        <w:br/>
        <w:t>poniesione zostały wydatki związane z wypłatą odsetek:</w:t>
      </w:r>
    </w:p>
    <w:tbl>
      <w:tblPr>
        <w:tblOverlap w:val="never"/>
        <w:jc w:val="center"/>
        <w:tblLayout w:type="fixed"/>
      </w:tblPr>
      <w:tblGrid>
        <w:gridCol w:w="941"/>
        <w:gridCol w:w="941"/>
        <w:gridCol w:w="936"/>
        <w:gridCol w:w="3725"/>
        <w:gridCol w:w="1075"/>
        <w:gridCol w:w="1368"/>
      </w:tblGrid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Nazwa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Plan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Wykonanie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75023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Pozostałe 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8.500,00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8.477,02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75023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Kary i odszkodowania wypłacane na rzecz</w:t>
              <w:br/>
              <w:t>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41.750,00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41.254,84</w:t>
            </w:r>
          </w:p>
        </w:tc>
      </w:tr>
      <w:tr>
        <w:trPr>
          <w:trHeight w:val="127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85501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Odsetki od dotacji oraz płatności:</w:t>
              <w:br/>
              <w:t>wykorzystanych niezgodnie z naruszeniem</w:t>
              <w:br/>
              <w:t>procedur, o których mowa w art. 184 ustawy,</w:t>
              <w:br/>
              <w:t>pobranych nienależnie lub w nadmiernej</w:t>
              <w:br/>
              <w:t>wysokości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213,29</w:t>
            </w:r>
          </w:p>
        </w:tc>
      </w:tr>
      <w:tr>
        <w:trPr>
          <w:trHeight w:val="129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4560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Odsetki od dotacji oraz płatności:</w:t>
              <w:br/>
              <w:t>wykorzystanych niezgodnie z naruszeniem</w:t>
              <w:br/>
              <w:t>procedur, o których mowa w art. 184 ustawy,</w:t>
              <w:br/>
              <w:t>pobranych nienależnie lub w nadmiernej</w:t>
              <w:br/>
              <w:t>wysokości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1.000,00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288,13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360" w:right="0" w:firstLine="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Odnośnie wyżej wskazanych odsetek, kar i odszkodowań Burmistrz na str. 88 sprawozdania zawarł</w:t>
        <w:br/>
        <w:t>informacje w odniesieniu do: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25" w:val="left"/>
        </w:tabs>
        <w:bidi w:val="0"/>
        <w:spacing w:before="0" w:after="0"/>
        <w:ind w:left="6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dz. 855 rozdz. 85501 oraz 85502 § 4560 -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są to odsetki od dotacji wykorzystanej niezgodnie z</w:t>
        <w:br/>
        <w:t>przeznaczeniem lub pobranych nienależnie wypłaconych ze środków budżetu państwa świadczeń</w:t>
        <w:br/>
        <w:t>wychowawczych i rodzinnych (kwota 501,42 zł);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25" w:val="left"/>
        </w:tabs>
        <w:bidi w:val="0"/>
        <w:spacing w:before="0" w:after="360"/>
        <w:ind w:left="6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dz. 750 rozdz. 75023 § 4580 i § 4590 -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„wykonanie wyroku Sądu Rejonowego w Lesznie sygn.</w:t>
        <w:br/>
        <w:t>Akt V GC 583/19 z dnia 13 lipca 2021 r. ( należność w kwocie 40.724,84 zł i odsetki w</w:t>
        <w:br/>
        <w:t>wysokości 8.477,02)” oraz „wypłata odszkodowania na podstawie ugody pozasądowej w</w:t>
        <w:br/>
        <w:t>związku z uszkodzeniem szyby w samochodzie osobowym osoby fizycznej w wyniku uderzenia</w:t>
        <w:br/>
        <w:t>kamienia przez pracującą wykaszarkę żyłkową, którą obsługiwał pracownik Urzędu Gminy</w:t>
        <w:br/>
        <w:t>(kwota 530,00 zł) ”.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VI. Skład Orzekający wskazuje, że w przedłożonym sprawozdaniu wystąpiły następujące</w:t>
        <w:br/>
        <w:t>nieprawidłowości: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25" w:val="left"/>
        </w:tabs>
        <w:bidi w:val="0"/>
        <w:spacing w:before="0" w:after="0"/>
        <w:ind w:left="660" w:right="0" w:hanging="2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załączniku nr 6 pn. „Realizacja wydatków majątkowych na dzień 31.12.2021 roku”</w:t>
        <w:br/>
        <w:t>wykonanie w dz. 600 rozdz. 60016 § 6050 wykazano w kwocie 3.265.948,66 zł zamiast</w:t>
        <w:br/>
        <w:t>3.265.648,66 zł. Błąd wynika z nieprawidłowej kwoty wykonania wydatków na zadanie pn.</w:t>
        <w:br/>
        <w:t>„Rewitalizacja centrum Osiecznej” które wykazano w kwocie 317.648,64 zł zamiast</w:t>
        <w:br/>
        <w:t>317.348,64 zł (prawidłową kwotę wykazano w zał. Nr 13 „Stopień zaawansowania realizacji</w:t>
        <w:br/>
        <w:t>programów wieloletnich ujętych w wykazie przedsięwzięć do Wieloletniej Prognozy</w:t>
        <w:br/>
        <w:t>Finansowej”). Konsekwencją błędu jest również nieprawidłowa kwota z podliczenia działu 600,</w:t>
        <w:br/>
        <w:t>wykonania wydatków majątkowych ogółem, wykonania wydatków na „inwestycje i zakupy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inwestycyjne ze środków własnych” oraz kwoty podliczenia § 6050- co wynika ze sprawozdania</w:t>
        <w:br/>
        <w:t>Rb- 28S. Powyższe wpływa na wydatki majątkowe ogółem wykazane w tym załączniku.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92" w:val="left"/>
        </w:tabs>
        <w:bidi w:val="0"/>
        <w:spacing w:before="0" w:after="0"/>
        <w:ind w:left="68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części opisowej sprawozdania (str. 78) wykazano realizację wydatków i zakupów</w:t>
        <w:br/>
        <w:t>inwestycyjnych w dz. 600, których suma wykonania wynosi 3.521.948,66 zł (ogółem wydatki</w:t>
        <w:br/>
        <w:t>inwestycyjne działu wykazano w prawidłowej wysokości), natomiast ze sprawozdania Rb-28S</w:t>
        <w:br/>
        <w:t>wynika kwota 3.521.648,66 zł (Wykazano nieprawidłową kwotę wykonania wydatków na</w:t>
        <w:br/>
        <w:t>zadanie pn. „Rewitalizacja centrum Osiecznej” tj. 317.648,64 zł zamiast 317.348,64 zł).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92" w:val="left"/>
        </w:tabs>
        <w:bidi w:val="0"/>
        <w:spacing w:before="0" w:after="0"/>
        <w:ind w:left="68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części opisowej (str.90) dotyczącej zał. Nr 6 „Realizacja wydatków majątkowych”</w:t>
        <w:br/>
        <w:t>wykonanie wydatków majątkowych wykazano w kwocie 11.670.991,98 zł zamiast</w:t>
        <w:br/>
        <w:t>11.670.691,98 zł oraz wydatków inwestycyjnych w kwocie 10.163.077,58 zł zamiast</w:t>
        <w:br/>
        <w:t>10.162.777,58 zł.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98" w:val="left"/>
        </w:tabs>
        <w:bidi w:val="0"/>
        <w:spacing w:before="0" w:after="380"/>
        <w:ind w:left="680" w:right="0" w:hanging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części opisowej dotyczącej wykonania wydatków bieżących (str. 86) w dz. 900</w:t>
        <w:br/>
        <w:t>„Gospodarka komunalna i ochrona środowiska” podano, że w zakresie pozostałej</w:t>
        <w:br/>
        <w:t>działalności związanej z gospodarką komunalną i ochroną środowiska wydatkowano kwotę</w:t>
        <w:br/>
        <w:t>247.582,74 zł, natomiast ze sprawozdania Rb -28S za IV kwartał 2021 r. w dz. 900 rozdz.</w:t>
        <w:br/>
        <w:t>90095 wynika kwota 247.082,74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/>
        <w:ind w:left="3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VIII. Informacja o stanie mienia jednostki samorządu terytorialnego została opracowana z zachowaniem</w:t>
        <w:br/>
        <w:t>postanowień art. 267 ust. 1 pkt. 3 ustawy o finansach publicznych. Wykaz mienia obrazuje stan</w:t>
        <w:br/>
        <w:t>majątku, jaki gmina posiada wraz ze zmianami od dnia złożenia poprzedniej informacji, jego</w:t>
        <w:br/>
        <w:t>wartość oraz dochody uzyskane z mienia w 2021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Mając powyższe na uwadze postanowiono jak w sentencji.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7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92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Składu Orzekającego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/>
        <w:ind w:left="0" w:right="92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Danuta Szczepańska</w:t>
      </w:r>
    </w:p>
    <w:p>
      <w:pPr>
        <w:pStyle w:val="Style17"/>
        <w:keepNext w:val="0"/>
        <w:keepLines w:val="0"/>
        <w:widowControl w:val="0"/>
        <w:shd w:val="clear" w:color="auto" w:fill="auto"/>
        <w:tabs>
          <w:tab w:pos="121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Pouczenie: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 niniejszej uchwały Składu Orzekającego służy odwołanie do Kolegium Izby w terminie 14 dni od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2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daty jej doręczenia.</w:t>
      </w:r>
    </w:p>
    <w:sectPr>
      <w:headerReference w:type="default" r:id="rId7"/>
      <w:footnotePr>
        <w:pos w:val="pageBottom"/>
        <w:numFmt w:val="decimal"/>
        <w:numRestart w:val="continuous"/>
      </w:footnotePr>
      <w:pgSz w:w="11900" w:h="16840"/>
      <w:pgMar w:top="1380" w:right="1207" w:bottom="825" w:left="1256" w:header="0" w:footer="397" w:gutter="0"/>
      <w:pgNumType w:start="2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5572125</wp:posOffset>
              </wp:positionH>
              <wp:positionV relativeFrom="page">
                <wp:posOffset>324485</wp:posOffset>
              </wp:positionV>
              <wp:extent cx="1014730" cy="30162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1473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>Elektronicznie podpisany przez: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>Danuta Szczepańska; RIO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>dnia 25 kwietnia 2022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8.75pt;margin-top:25.550000000000001pt;width:79.900000000000006pt;height:23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>Elektronicznie podpisany przez: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>Danuta Szczepańska; RIO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>dnia 25 kwietnia 2022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5570855</wp:posOffset>
              </wp:positionH>
              <wp:positionV relativeFrom="page">
                <wp:posOffset>315595</wp:posOffset>
              </wp:positionV>
              <wp:extent cx="1017905" cy="30162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17905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>Elektronicznie podpisany przez: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>Zdzisław Drost; RIO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>dnia 25 kwietnia 2022 r.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38.65000000000003pt;margin-top:24.850000000000001pt;width:80.150000000000006pt;height:23.7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>Elektronicznie podpisany przez: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>Zdzisław Drost; RIO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>dnia 25 kwietnia 2022 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3781425</wp:posOffset>
              </wp:positionH>
              <wp:positionV relativeFrom="page">
                <wp:posOffset>528955</wp:posOffset>
              </wp:positionV>
              <wp:extent cx="52070" cy="8509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07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97.75pt;margin-top:41.649999999999999pt;width:4.0999999999999996pt;height:6.70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1"/>
      <w:numFmt w:val="decimal"/>
      <w:lvlText w:val="%1."/>
    </w:lvl>
    <w:lvl w:ilvl="1">
      <w:start w:val="2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Nagłówek lub stopka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ekst treści (3)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2">
    <w:name w:val="Inne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8">
    <w:name w:val="Tekst treści (2)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0"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Nagłówek lub stopka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ekst treści (3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11">
    <w:name w:val="Inne"/>
    <w:basedOn w:val="Normal"/>
    <w:link w:val="CharStyle12"/>
    <w:pPr>
      <w:widowControl w:val="0"/>
      <w:shd w:val="clear" w:color="auto" w:fill="auto"/>
      <w:spacing w:after="20" w:line="36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7">
    <w:name w:val="Tekst treści (2)"/>
    <w:basedOn w:val="Normal"/>
    <w:link w:val="CharStyle18"/>
    <w:pPr>
      <w:widowControl w:val="0"/>
      <w:shd w:val="clear" w:color="auto" w:fill="auto"/>
      <w:spacing w:after="110"/>
      <w:ind w:left="61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/Relationships>
</file>

<file path=docProps/core.xml><?xml version="1.0" encoding="utf-8"?>
<cp:coreProperties xmlns:cp="http://schemas.openxmlformats.org/package/2006/metadata/core-properties" xmlns:dc="http://purl.org/dc/elements/1.1/">
  <dc:title>S25C-922042706500</dc:title>
  <dc:subject/>
  <dc:creator/>
  <cp:keywords/>
</cp:coreProperties>
</file>